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14.1996.78 vom 15. Oktober 1996</w:t>
      </w:r>
    </w:p>
    <w:p>
      <w:r>
        <w:t>TI Tribunale d'appello, 1996-10-15, IT</w:t>
      </w:r>
    </w:p>
    <w:p>
      <w:r>
        <w:rPr>
          <w:b/>
        </w:rPr>
        <w:t xml:space="preserve">Quelle: </w:t>
      </w:r>
      <w:r>
        <w:t>https://mcp.opencaselaw.ch/entscheid/ti_gerichte_14.1996.78</w:t>
      </w:r>
    </w:p>
    <w:p>
      <w:r>
        <w:t>FR: TI_GERICHTE 14.1996.78 du 15 octobre 1996</w:t>
      </w:r>
    </w:p>
    <w:p>
      <w:r>
        <w:t>IT: TI_GERICHTE 14.1996.78 del 15 ottobre 1996</w:t>
      </w:r>
    </w:p>
    <w:p>
      <w:pPr>
        <w:pStyle w:val="Heading2"/>
      </w:pPr>
      <w:r>
        <w:t>Regeste</w:t>
      </w:r>
    </w:p>
    <w:p>
      <w:r>
        <w:t>Sentenza o decisione senza scheda</w:t>
      </w:r>
    </w:p>
    <w:p>
      <w:pPr>
        <w:pStyle w:val="Heading2"/>
      </w:pPr>
      <w:r>
        <w:t>Erwägungen</w:t>
      </w:r>
    </w:p>
    <w:p>
      <w:r>
        <w:rPr>
          <w:b/>
        </w:rPr>
        <w:t>E. 1</w:t>
      </w:r>
    </w:p>
    <w:p>
      <w:r>
        <w:t>L’appellante adduce per la prima volta in sede d’appello, di aver estinto il proprio debito il 17 luglio 1996, ossia prima della declaratoria di fallimento. A sostegno del suo assunto liberatorio ha prodotto quanto indicato nella narrativa fattuale sub C. a) La questione a sapere se possono essere ammessi in seconda sede fatti, prove ed eccezioni nuovi va risolta facendo capo al diritto processuale civile cantonale, atteso che per l’art. 25 n. 2 LEF il Cantone ha facoltà sia di ammettere, sia di limitare, sia di escludere fatti nuovi nella procedura di ricorso di cui all’art. 174 LEF. Per gli art. 385 ss. CPC l’istanza di fallimento è trattata con la procedura sommaria (cfr. in particolare l’art. 387 CPC). Contro la decisione in prima sede del Pretore è dato il rimedio dell’appellazione a questa Camera: il termine di ricorso è di dieci giorni. A prescindere da questa particolarità, l’art. 388 CPC non modifica in nulla le regole che disciplinano l’istituto dell’appello. Queste escludono, in virtù dell’art. 321 cpv.1 lett. b CPC, la facoltà di addurre in seconda sede nuovi fatti, prove ed eccezioni (cfr. tra tante, CEF 28 maggio 1980 in re C.SA, in Rep 1981 p. 420; CEF 28 gennaio 1988 in re A. AG c. F.T. e 8 agosto 1989 in re B.A. c. A.SA). La scrivente Camera ha, per prassi costante, stabilito una particolarità procedurale in caso di dichiarazione di fallimento, negando l’ammissibilità di nova in senso proprio (ossia fatti verificatisi dopo il giudizio impugnato) ma ammettendo gli pseudonova (ossia fatti rilevanti realizzatisi ante declaratoria di decozione ma non portati a conoscenza del primo giudice), cfr. tra tante CEF 8 agosto 1989 in re B.A. c. A. SA oltre che CEF 7 giugno 1983 in re E. c. I. p. 4-5. Gli pseudonova devono essere tali da escludere la pronuncia del fallimento, qualora fossero stati tempestivamente noti al Pretore, e non devono apparire come un ripiego o un espediente abilmente ideato per evitare il fallimento con i gravi effetti che ne conseguono (cfr. CEF 28 gennaio 1988 in re A.AG c. F.T. cons. 1 i.f. e rif. ivi).</w:t>
      </w:r>
    </w:p>
    <w:p>
      <w:r>
        <w:rPr>
          <w:b/>
        </w:rPr>
        <w:t>E. 2</w:t>
      </w:r>
    </w:p>
    <w:p>
      <w:r>
        <w:t>Nel caso in esame, quanto riferito sub 1 in ingresso costituisce prova sufficiente dell’avvenuto pagamento ante declaratoria di decozione: il fallimento va quindi annullato.</w:t>
      </w:r>
    </w:p>
    <w:p>
      <w:r>
        <w:rPr>
          <w:b/>
        </w:rPr>
        <w:t>E. 3</w:t>
      </w:r>
    </w:p>
    <w:p>
      <w:r>
        <w:t>Le spese dell’Ufficio dei fallimenti di Lugano, da anticipare come di rito. sono a carico di __________ II. La tassa di giustizia di Fr. 120.-- del presente giudizio, già anticipata dall’appellante, resta a suo carico. III. Intimazione a: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