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14.1995.184 vom 30. Mai 1996</w:t>
      </w:r>
    </w:p>
    <w:p>
      <w:r>
        <w:t>TI Tribunale d'appello, 1996-05-30, IT</w:t>
      </w:r>
    </w:p>
    <w:p>
      <w:r>
        <w:rPr>
          <w:b/>
        </w:rPr>
        <w:t xml:space="preserve">Quelle: </w:t>
      </w:r>
      <w:r>
        <w:t>https://mcp.opencaselaw.ch/entscheid/ti_gerichte_14.1995.184</w:t>
      </w:r>
    </w:p>
    <w:p>
      <w:r>
        <w:t>FR: TI_GERICHTE 14.1995.184 du 30 mai 1996</w:t>
      </w:r>
    </w:p>
    <w:p>
      <w:r>
        <w:t>IT: TI_GERICHTE 14.1995.184 del 30 maggio 1996</w:t>
      </w:r>
    </w:p>
    <w:p>
      <w:pPr>
        <w:pStyle w:val="Heading2"/>
      </w:pPr>
      <w:r>
        <w:t>Regeste</w:t>
      </w:r>
    </w:p>
    <w:p>
      <w:r>
        <w:t>Sentenza o decisione senza scheda</w:t>
      </w:r>
    </w:p>
    <w:p>
      <w:pPr>
        <w:pStyle w:val="Heading2"/>
      </w:pPr>
      <w:r>
        <w:t>Erwägungen</w:t>
      </w:r>
    </w:p>
    <w:p>
      <w:r>
        <w:rPr>
          <w:b/>
        </w:rPr>
        <w:t>E. 1</w:t>
      </w:r>
    </w:p>
    <w:p>
      <w:r>
        <w:t>a) Ex art. 126 cpv. 1 CPC quando un atto è presentato a una autorità giudiziaria incompetente, questa, d’ufficio, lo trasmette subito all’autorità giudiziaria competente e ne dà comunicazione alla parte che lo ha inoltrato. I termini si ritengono rispettati se lo furono con l’insinuazione all’autorità incompetente. Contrariamente a quanto sostenuto dalla __________ sull’atto di appello della __________ 26 ottobre 1995 vi è apposto il timbro di entrata della Pretura del Distretto di Lugano recante la data 27 ottobre 1995. b) La sanzione di nullità va applicata con cautela: non è nullo l’appello dal cui contenuto, ancorchè impreciso, appaia comunque chiara l’intenzione di impugnare la sentenza di primo grado nella misura in cui sia sfavorevole all’appellato, e dalla cui irregolarità formale non derivi alcun pregiudizio alla controparte (cfr. Cocchi/Trezzini, CPC, ad art. 309 n. 13). Anche se l’appello, per di più redatto dalla stessa parte, non risponde in modo preciso ai requisiti formali, esso non è nullo, purchè dal suo complesso si desumino i motivi e risulti l’indicazione della sentenza appellata e la volontà di appellare (cfr. Cocchi/Trezzini, CPC, ad art. 309 n. 21). Anche se nell’atto di appello manca l’indicazione della parte appellata la quale tuttavia fu in grado di rispondere all’appello, e non ebbe quindi alcun pregiudizio, il difetto di forma non comporta la nullità dell’atto (cfr. Cocchi/Trezzini, CPC, ad art. 309 n. 22) L’atto di appello presentato dalla __________ anche se carente dell’indicazione della parte appellata e del suo domicilio, non ha impedito a quest’ultima di presentare le sue osservazioni. La __________ non ha di conseguenza subito alcun pregiudizio. Inoltre dall’atto di appello si desumono sia la sentenza appellata che i motivi d’impugnazione.</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Il riconoscimento di debito firmato da un rappresentante dell’escusso vincola quest’ultimo solo se vi è alternativamente: - procura scritta; - ammissione esplicita in documenti; - ammissione esplicita all’udienza; Atti concludenti non sono sufficienti. La soluzione formalista è quella che il Tribunale federale in DTF 112 III 88/89 reputa più corretta, così come Amonn in ZBJV 1988 p. 328-329, avuto riguardo alle peculiarità della procedura sommaria di rigetto, anche se la tesi opposta  (ammissibilità di ratifica per atti concludenti) non è arbitraria (cfr. Cometta, op. cit. in Rep 1989 p. 340 e n. 114 p. 352). c) Dall’esame dei contratti di compravendita doc. A, B e C risulta che  per la __________ essi sono stati sottoscritti dalla signora __________ che non risulta iscritta a RC. Ora, procedere, come sostenuto dall’escussa, alla valutazione delle peculiarità del caso, ossia del fatto che la creditrice ha fornito i macchinari acquistati e che questi sarebbero già stati parzialmente pagati  - nonostante che dagli accrediti doc. da D1 a D9 non sempre risulta per quali contratti sono stati effettuati i versamenti -, implica l’ammissione di atti concludenti, che la soluzione formale del Tribunale federale e la giurisprudenza di questa Camera tuttavia respingono. L’escussa, in riferimento alla DTF 112 III 89, ha inoltre sostenuto che il potere di rappresentanza non deve essere necessariamente dimostrato con procura scritta. Come ritenuto al precedente considerando vi può essere infatti ammissione esplicita in documenti oppure ammissione durante l’udienza di contraddittorio. Nel caso di specie queste eventualità non si sono però avverate. I doc. A, B e C non sono pertanto idonei a vincolare l’escussa, per cui in mancanza di un valido riconoscimento di debito nei suoi confronti, l’istanza di rigetto provvisorio dell’opposizione è stata in prima sede correttamente respinta.</w:t>
      </w:r>
    </w:p>
    <w:p>
      <w:r>
        <w:rPr>
          <w:b/>
        </w:rPr>
        <w:t>E. 3</w:t>
      </w:r>
    </w:p>
    <w:p>
      <w:r>
        <w:t>Ex art. 68 OTLEF nelle contestazioni concernenti tra l’altro il rigetto o l’ammissibilità di un’opposizione il giudice può, a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ora espresso in DTF 119 III 69, rilevando che l’indennità, nella procedura di rigetto dell’opposizione, comprende anche le spese derivanti dal patrocinio di un avvocato. La valutazione dell’equa indennità ha luogo in applicazione del diritto federale (art. 68 cpv. 1 OTLEF), ritenuto che si può far capo alla TOA solo in termini di semplice riferimento e avuto riguardo alle peculiarità del caso di specie (cfr. DTF 119 III 69 cons. 3b e rif. ivi). Ex art. 18 cpv. 1 della TOA, applicabile per analogia e nei limiti posti dall’art. 68 cpv. 1 OTLEF, per le procedure sommarie previste dalla LEF l’onorario va dal 10% al 50% dell’onorario normale calcolato giusta l’art. 9 TOA, ritenuto un massimo di Fr. 20’000.--. In considerazione del valore di causa, della natura della disputa, come pure del tempo impiegato in termini di razionalità, l’indennità assegnata dal primo giudice appare inadeguata e va di conseguenza fissata in Fr. 1’500.--.</w:t>
      </w:r>
    </w:p>
    <w:p>
      <w:r>
        <w:rPr>
          <w:b/>
        </w:rPr>
        <w:t>E. 4</w:t>
      </w:r>
    </w:p>
    <w:p>
      <w:r>
        <w:t>L’appello 26 ottobre 1995 della __________ va quindi accolto. Tassa di giustizia e indennità seguono la soccombenza (art. 51, 54, 57 e 68 OTLEF). L’appello 30 ottobre 1995 della __________ va invece respinto. La tassa di giustizia segue la soccombenza, mentre non si assegnano indennità, in mancanza di petitum in tal senso, la __________ non avendo presentato osservazioni (art. 51, 54, 67 e 68 cpv. 1 OTLEF). Per i quali motivi richiamati gli art. 309 CPC e 82 LEF pronuncia I. L’appello 26 ottobre 1995 __________ è accolto. Di conseguenza la sentenza 18/19 ottobre 1995 della Segretaria assessore della Pretura di Lugano, Sezione 5,  è così riformata: ( 1. inviariato). "2. La tassa di giustizia di Fr. 200.--, da anticipare dalla parte istante, è a carico della __________ __________ che rifonderà alla __________ Fr. 1’500.-- a titolo di indennita”. I.1. La tassa di giustizia del presente giudizio di Fr. 100.--, già anticipata dall’appellante, è a carico della __________, che rifonderà alla __________ Fr. 200.-- a titolo di indennità. II. L’appello 30 ottobre 1995 __________, è respinto. II.1. La tassa di giustizia di Fr. 300.--, già anticipata dall’appellante, è a carico della __________ III. Intimazione a: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