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13.2023.25 vom 15. Mai 2023</w:t>
      </w:r>
    </w:p>
    <w:p>
      <w:r>
        <w:t>TI Tribunale d'appello, 2023-05-15, IT</w:t>
      </w:r>
    </w:p>
    <w:p>
      <w:r>
        <w:rPr>
          <w:b/>
        </w:rPr>
        <w:t xml:space="preserve">Quelle: </w:t>
      </w:r>
      <w:r>
        <w:t>https://mcp.opencaselaw.ch/entscheid/ti_gerichte_13.2023.25</w:t>
      </w:r>
    </w:p>
    <w:p>
      <w:r>
        <w:t>FR: TI_GERICHTE 13.2023.25 du 15 mai 2023</w:t>
      </w:r>
    </w:p>
    <w:p>
      <w:r>
        <w:t>IT: TI_GERICHTE 13.2023.25 del 15 maggio 2023</w:t>
      </w:r>
    </w:p>
    <w:p>
      <w:pPr>
        <w:pStyle w:val="Heading2"/>
      </w:pPr>
      <w:r>
        <w:t>Regeste</w:t>
      </w:r>
    </w:p>
    <w:p>
      <w:r>
        <w:t>Revoca del gratuito patrocinio. Quale diritto di natura strettamente personale, titolare ne è esclusivamente la parte al processo che adempie i requisiti di legge. Il patrocinatore solo in casi eccezionali, ovvero se motivi personali o professionali sono motivo di mancata nomina o revoca</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cifra 1 CPC e 48 lett. c cifra 1 LOG). La domanda di gratuito patrocinio è trattata con la procedura sommaria (art. 248 lett. a CPC e art. 119 cpv. 3 prima frase CPC), sicché il termine d’impugnazione giusta l’art. 321 cpv. 2 CPC è di 10 giorni. 1.1   La decisione 15 febbraio 2023 è pervenuta alla reclamante il 20 febbraio 2023. Rimesso alla posta il 1° marzo 2023 il reclamo risulta così tempestivo e, da questo punto di vista, ammissibile. 1.2  Il reclamo, trattato in procedura sommaria, viene evaso da questa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w:t>
      </w:r>
    </w:p>
    <w:p>
      <w:r>
        <w:rPr>
          <w:b/>
        </w:rPr>
        <w:t>E. 3</w:t>
      </w:r>
    </w:p>
    <w:p>
      <w:r>
        <w:t>Il diritto all’assistenza giudiziaria è di natura strettamente personale ( “höchstpersönlicher Anspruch” ) e titolare del diritto è esclusivamente la parte al processo che adempie i requisiti di legge, vale a dire che è sprovvista dei mezzi necessari e la cui domanda non appaia priva di probabilità di successo (decisione del Tribunale federale 5P.220/2003 del 23 dicembre 2003 e 5P.164/2005 del 29 luglio 2005). A differenza del titolare di tale diritto, il suo patrocinatore non può insorgere a titolo personale avverso la decisione che nega, rispettivamente revoca il gratuito patrocinio al proprio assistito, a meno che concorrano casi eccezionali, segnatamente se motivi personali o professionali sono stati alla base della sua mancata nomina a patrocinatore d’ufficio ( Rüegg/Rüegg, Basler Kommentar, ZPO, 3 a ed., 2017, n. 1 ad art. 121; Emmel , in: Sutter-Somm/Hasenböhler/ Leuenberger, Kommentar zur ZPO, 3 a ed., 2016, n. 2 ad art. 121; Bühler, Berner Kommentar, ZPO, vol. I, 2012, n. 11 ad art. 121). 3.1   La reclamante non sostanzia l’esistenza di circostanze eccezionali che le consentano di insorgere a titolo personale contro la decisione di revoca del gratuito patrocinio. In difetto della legittimazione a ricorrere in capo all’insorgente il reclamo è quindi inammissibile.</w:t>
      </w:r>
    </w:p>
    <w:p>
      <w:r>
        <w:rPr>
          <w:b/>
        </w:rPr>
        <w:t>E. 4</w:t>
      </w:r>
    </w:p>
    <w:p>
      <w:r>
        <w:t>Le spese processuali, fissate in fr. 400.– giusta l’art. 2 cpv. 1 LTG (valore, natura e complessità della causa) e 14 LTG (tassa di giustizia per le decisioni su reclamo tra fr. 100.– e fr. 10'000.–) sono poste a carico della reclamante, soccombente. Non si pone la questione delle ripetibili, la procedura di gratuito patrocinio opponendo il richiedente allo Stato e, comunque sia, non essendo state chieste osservazioni. Per i quali motivi, pronuncia:              1. Il reclamo 1° marzo 2023 dell’avv. RE 1 è inammissibile. 2. Le spese processuali per il reclamo, stabilite in fr. 400.–, sono poste a carico della reclamante. 3. Notificazione: -     . Comunicazione alla Pretura del Distretto di Bellinzona.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