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13.2021.32 vom 17. August 2021</w:t>
      </w:r>
    </w:p>
    <w:p>
      <w:r>
        <w:t>TI Tribunale d'appello, 2021-08-17, IT</w:t>
      </w:r>
    </w:p>
    <w:p>
      <w:r>
        <w:rPr>
          <w:b/>
        </w:rPr>
        <w:t xml:space="preserve">Quelle: </w:t>
      </w:r>
      <w:r>
        <w:t>https://mcp.opencaselaw.ch/entscheid/ti_gerichte_13.2021.32</w:t>
      </w:r>
    </w:p>
    <w:p>
      <w:r>
        <w:t>FR: TI_GERICHTE 13.2021.32 du 17 août 2021</w:t>
      </w:r>
    </w:p>
    <w:p>
      <w:r>
        <w:t>IT: TI_GERICHTE 13.2021.32 del 17 agosto 2021</w:t>
      </w:r>
    </w:p>
    <w:p>
      <w:pPr>
        <w:pStyle w:val="Heading2"/>
      </w:pPr>
      <w:r>
        <w:t>Regeste</w:t>
      </w:r>
    </w:p>
    <w:p>
      <w:r>
        <w:t>Salvo eccezioni, il patrocinatore non può insorgere a titolo personale avverso la decisione di diniego del gratuito patrocinio al proprio assistito</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cifra 1 CPC e 48 lett. c cifra 1 LOG). La domanda di gratuito patrocinio è trattata in procedura sommaria (art. 248 lett. a CPC e art. 119 cpv. 3 prima frase CPC), sicché il termine di impugnazione giusta l’art. 321 cpv. 2 CPC è di 10 giorni. La decisione impugnata è pervenuta alla reclamante il 22 marzo 2021 sicché, rimesso alla posta il 1° aprile 2021, il gravame è tempestivo e, da questo punto di vista, senz’altro ammissibile.</w:t>
      </w:r>
    </w:p>
    <w:p>
      <w:r>
        <w:rPr>
          <w:b/>
        </w:rPr>
        <w:t>E. 2</w:t>
      </w:r>
    </w:p>
    <w:p>
      <w:r>
        <w:t>Conformemente all’art. 320 CPC con il reclamo possono essere censurati l’applicazione errata del diritto (lett. a) e l’accertamento manifestamente errato dei fatti (lett. b).</w:t>
      </w:r>
    </w:p>
    <w:p>
      <w:r>
        <w:rPr>
          <w:b/>
        </w:rPr>
        <w:t>E. 3</w:t>
      </w:r>
    </w:p>
    <w:p>
      <w:r>
        <w:t>Il diritto all’assistenza giudiziaria è di natura strettamente personale ( “höchstpersönliche Anspruch” ) e titolare del diritto è esclusivamente la parte al processo che adempie i requisiti di legge, vale a dire che è sprovvista dei mezzi necessari e la cui domanda non appaia priva di probabilità di successo (decisione del Tribunale federale 5P.220/2003 del 23 dicembre 2003 e 5P.164/2005 del 29 luglio 2005). Pertanto, a differenza del titolare di tale diritto, il suo patrocinatore non può insorgere a titolo personale avverso la decisione che nega il gratuito patrocinio al proprio assistito, a meno che concorrano casi eccezionali, segnatamente se motivi personali o professionali sono stati alla base della sua mancata nomina a patrocinatore d’ufficio (IIICCA 13.2017.49 del</w:t>
      </w:r>
    </w:p>
    <w:p>
      <w:r>
        <w:rPr>
          <w:b/>
        </w:rPr>
        <w:t>E. 5</w:t>
      </w:r>
    </w:p>
    <w:p>
      <w:r>
        <w:t>Il reclamo, trattato in procedura sommaria, viene evaso da questa Camera nella composizione a giudice unico (art. 48b cpv. 1 lett. b cifra 2 LOG). Per i quali motivi, pronuncia:              1. Il reclamo 1° aprile 2021 dell’avv. PA 1 è inammissibile. 2. Non si prelevano spese processuali. 3. Notificazione (unitamente al reclamo 1° aprile 2021 alla controparte): -      ; -      . Comunicazione alla Pretura del Distretto di Lugano, sezione 3.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