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13.2019.78 vom 22. November 2023</w:t>
      </w:r>
    </w:p>
    <w:p>
      <w:r>
        <w:t>TI Tribunale d'appello, 2023-11-22, IT</w:t>
      </w:r>
    </w:p>
    <w:p>
      <w:r>
        <w:rPr>
          <w:b/>
        </w:rPr>
        <w:t xml:space="preserve">Quelle: </w:t>
      </w:r>
      <w:r>
        <w:t>https://mcp.opencaselaw.ch/entscheid/ti_gerichte_13.2019.78</w:t>
      </w:r>
    </w:p>
    <w:p>
      <w:r>
        <w:t>FR: TI_GERICHTE 13.2019.78 du 22 novembre 2023</w:t>
      </w:r>
    </w:p>
    <w:p>
      <w:r>
        <w:t>IT: TI_GERICHTE 13.2019.78 del 22 novembre 2023</w:t>
      </w:r>
    </w:p>
    <w:p>
      <w:pPr>
        <w:pStyle w:val="Heading2"/>
      </w:pPr>
      <w:r>
        <w:t>Erwägungen</w:t>
      </w:r>
    </w:p>
    <w:p>
      <w:r>
        <w:rPr>
          <w:b/>
        </w:rPr>
        <w:t>E. 2</w:t>
      </w:r>
    </w:p>
    <w:p>
      <w:r>
        <w:t>Considerato che la causa promossa in Pretura è terminata, RE 1 non ha più qualità di parte. Il presente reclamo è quindi da stralciare dal ruolo. Peraltro, anche la necessità di patrocinio in prima istanza è venuta meno sicché il reclamo è comunque diventato privo d’interesse e va quindi stralciato dal ruolo.</w:t>
      </w:r>
    </w:p>
    <w:p>
      <w:r>
        <w:rPr>
          <w:b/>
        </w:rPr>
        <w:t>E. 3</w:t>
      </w:r>
    </w:p>
    <w:p>
      <w:r>
        <w:t>Per quanto concerne la domanda di gratuito patrocinio, questa ha carattere altamente personale e titolare è esclusivamente la parte al processo che adempie i presupposti di cui all’art. 117 CPC. Se la parte interessata perde qualità di parte allorquando la relativa istanza non è ancora stata decisa, viene a cessare ogni interesse giuridicamente protetto del richiedente al suo ottenimento, ragione per cui l’onorario dell’avvocato non potrà essere coperto dalla Cassa dello Stato. Ne discende che l’istanza di gratuito patrocinio va respinta. La stessa diventa comunque priva d’oggetto perché non vengono riscosse spese per il reclamo.</w:t>
      </w:r>
    </w:p>
    <w:p>
      <w:r>
        <w:rPr>
          <w:b/>
        </w:rPr>
        <w:t>E. 4</w:t>
      </w:r>
    </w:p>
    <w:p>
      <w:r>
        <w:t>Le spese processuali del presente giudizio seguono la soccombenza (art. 106 cpv. 1 CPC) e andrebbero quindi poste a carico della reclamante. Considerata la particolarità della situazione e stante l’esito del procedimento, eccezionalmente si prescinde dal prelevarle. Non si assegnano ripetibili al convenuto che non ha dovuto inoltrare osservazioni.</w:t>
      </w:r>
    </w:p>
    <w:p>
      <w:r>
        <w:rPr>
          <w:b/>
        </w:rPr>
        <w:t>E. 5</w:t>
      </w:r>
    </w:p>
    <w:p>
      <w:r>
        <w:t>Le procedure che terminano con lo stralcio della causa sono decise dalla Camera nella composizione a giudice unico (art. 48b cpv. 1 lett. a cifra 1 LOG). Per i quali motivi, richiamati gli art. 241 e 242 CPC; pronuncia:              1. Il reclamo 19 settembre 2019 di RE 1 è stralciato dai ruoli. 2. Nella misura in cui non è priva d’oggetto, l’istanza di gratuito patrocinio 19 settembre 2019 di RE 1 è respinta. 3. Non si prelevano spese processuali. 4. Notificazione (unitamente al reclamo 19 settembre 2019 alla controparte): – ; –      . Comunicazione alla Pretura del Distretto di Bellinzona. Per la terza Camera civile del Tribunale d’appello Il presidente                                                          La vicecancelliera Rimedi giuridici Contro la presente sentenza è dato ricorso in materia civile al Tribunale federale, 1000 Losanna 14, entro 30 giorni dalla notifica­zione del testo integrale della decisione con i limiti dell’art. 93 LTF. Nelle cause a carattere pecuniario il ricorso è ammissibile se il valore litigioso ammonta a fr. 15'000.- nelle vertenze in materia di diritto del lavoro e di locazione e a fr. 30'000.- negli altri casi. Per valori inferiori il ricorso è ammissibile se la controversia concerne una questione di diritto di importanza fondamentale o se una legge federale prescrive un’istanza cantonale unica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