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13.2019.73 vom 11. November 2019</w:t>
      </w:r>
    </w:p>
    <w:p>
      <w:r>
        <w:t>TI Tribunale d'appello, 2019-11-11, IT</w:t>
      </w:r>
    </w:p>
    <w:p>
      <w:r>
        <w:rPr>
          <w:b/>
        </w:rPr>
        <w:t xml:space="preserve">Quelle: </w:t>
      </w:r>
      <w:r>
        <w:t>https://mcp.opencaselaw.ch/entscheid/ti_gerichte_13.2019.73</w:t>
      </w:r>
    </w:p>
    <w:p>
      <w:r>
        <w:t>FR: TI_GERICHTE 13.2019.73 du 11 novembre 2019</w:t>
      </w:r>
    </w:p>
    <w:p>
      <w:r>
        <w:t>IT: TI_GERICHTE 13.2019.73 del 11 novembre 2019</w:t>
      </w:r>
    </w:p>
    <w:p>
      <w:pPr>
        <w:pStyle w:val="Heading2"/>
      </w:pPr>
      <w:r>
        <w:t>Regeste</w:t>
      </w:r>
    </w:p>
    <w:p>
      <w:r>
        <w:t>Diniego di gratuito patrocinio per revoca del mandato all'aspirante gratuito patrocinatore intervenuta prima della decisione del giudice sulla relativa istanza e senza sua preventiva autorizzazione alla sostituzione</w:t>
      </w:r>
    </w:p>
    <w:p>
      <w:pPr>
        <w:pStyle w:val="Heading2"/>
      </w:pPr>
      <w:r>
        <w:t>Erwägungen</w:t>
      </w:r>
    </w:p>
    <w:p>
      <w:r>
        <w:rPr>
          <w:b/>
        </w:rPr>
        <w:t>E. 2</w:t>
      </w:r>
    </w:p>
    <w:p>
      <w:r>
        <w:t>Le spese processuali del reclamo, fissate in fr. 300.–, sono poste a carico del reclamante, avv. RE 1.</w:t>
      </w:r>
    </w:p>
    <w:p>
      <w:r>
        <w:rPr>
          <w:b/>
        </w:rPr>
        <w:t>E. 3</w:t>
      </w:r>
    </w:p>
    <w:p>
      <w:r>
        <w:t>Notificazione: -      . Comunicazione: - Pretura del distretto di Bellinzona; - .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