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13.2017.49 vom 5. Dezember 2017</w:t>
      </w:r>
    </w:p>
    <w:p>
      <w:r>
        <w:t>TI Tribunale d'appello, 2017-12-05, IT</w:t>
      </w:r>
    </w:p>
    <w:p>
      <w:r>
        <w:rPr>
          <w:b/>
        </w:rPr>
        <w:t xml:space="preserve">Quelle: </w:t>
      </w:r>
      <w:r>
        <w:t>https://mcp.opencaselaw.ch/entscheid/ti_gerichte_13.2017.49</w:t>
      </w:r>
    </w:p>
    <w:p>
      <w:r>
        <w:t>FR: TI_GERICHTE 13.2017.49 du 5 décembre 2017</w:t>
      </w:r>
    </w:p>
    <w:p>
      <w:r>
        <w:t>IT: TI_GERICHTE 13.2017.49 del 5 dicembre 2017</w:t>
      </w:r>
    </w:p>
    <w:p>
      <w:pPr>
        <w:pStyle w:val="Heading2"/>
      </w:pPr>
      <w:r>
        <w:t>Regeste</w:t>
      </w:r>
    </w:p>
    <w:p>
      <w:r>
        <w:t>Diniego di gratuito patrocinio. Legittimazione a proporre reclamo. La scelta del patrocinatore incombe al giudice, che deve preventivamente autorizzare anche l'eventuale interruzione della rappresentanza, pena il mancato riconoscimento del gratuito patrocinio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 inammissibile.</w:t>
      </w:r>
    </w:p>
    <w:p>
      <w:r>
        <w:rPr>
          <w:b/>
        </w:rPr>
        <w:t>E. 2</w:t>
      </w:r>
    </w:p>
    <w:p>
      <w:r>
        <w:t>Le spese processuali sono fissate in fr. 250.– e poste a carico del reclamante. Non si assegnano ripetibili.</w:t>
      </w:r>
    </w:p>
    <w:p>
      <w:r>
        <w:rPr>
          <w:b/>
        </w:rPr>
        <w:t>E. 3</w:t>
      </w:r>
    </w:p>
    <w:p>
      <w:r>
        <w:t>Notificazione (unitamente al reclamo 2 maggio 2017 alle parti in causa): – ; – ; – ; Comunicazione alla Pretura del Distretto di Bellinzona. Per la terza Camera civile del Tribunale d'appello Il presidente                                                          La vicecancelliera Rimedi giuridici Nelle cause a carattere pecuniario è dato ricorso in materia civile al Tribunale federale, 1000 Losanna 14, entro 30 giorni dalla notificazione del testo integrale della decisione (art. 100 cpv. 1 LTF), se il valore litigioso ammonta a fr. 15'000.– nelle vertenze in materia di diritto del lavoro e di locazione e a fr. 30'000.– negli altri casi; quando il valore litigioso non raggiunge tale importo, il ricorso in materia civile è ammissibile se la controversia concerne una questione di diritto di importanza fondamentale (art. 74 LTF). Il ricorso è ammissibile contro le decisioni che pongono fine al procedimento (art. 90 LTF). Esso è pure ammissibile contro una decisione che concerne soltanto talune conclusioni, se queste possono essere giudicate indipendentemente dalle altre, o che pone fine al procedimento soltanto per una parte dei litisconsorti (art. 91 LTF), oppure ancora contro decisioni pregiudiziali e incidentali notificate separatamente e concernenti la competenza o domande di ricusazione (art. 92 cpv. 1 LTF). In presenza di altre decisioni pregiudiziali o incidentali, il ricorso è ammissibile solo se le stesse possono causare un pregiudizio irreparabile o se l’accoglimento del ricorso comporterebbe immediatamente una decisione finale consentendo di evitare una procedura probatoria defatigante o dispendiosa (art. 93 LTF). La legittimazione a ricorrere è disciplinata dall'art. 76 LTF. Laddove non sia ammissibile il ricorso in materia civile è dato, entro lo stesso termine, il ricorso sussidiario in materia costituzionale al Tribunale federale per i motivi previsti dall'art. 116 LTF (art. 113, 117 LTF). La legittimazione a ricorrere è disciplinata in tal caso dall'art. 115 LTF. La parte che intende impugnare una decisione sia con un ricorso ordinario sia con un ricorso in materia costituzionale deve presentare entrambi i ricorsi con una sola e medesima istanza (art. 119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