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13.2012.1 vom 4. Juli 2012</w:t>
      </w:r>
    </w:p>
    <w:p>
      <w:r>
        <w:t>TI Tribunale d'appello, 2012-07-04, IT</w:t>
      </w:r>
    </w:p>
    <w:p>
      <w:r>
        <w:rPr>
          <w:b/>
        </w:rPr>
        <w:t xml:space="preserve">Quelle: </w:t>
      </w:r>
      <w:r>
        <w:t>https://mcp.opencaselaw.ch/entscheid/ti_gerichte_13.2012.1</w:t>
      </w:r>
    </w:p>
    <w:p>
      <w:r>
        <w:t>FR: TI_GERICHTE 13.2012.1 du 4 juillet 2012</w:t>
      </w:r>
    </w:p>
    <w:p>
      <w:r>
        <w:t>IT: TI_GERICHTE 13.2012.1 del 4 luglio 2012</w:t>
      </w:r>
    </w:p>
    <w:p>
      <w:pPr>
        <w:pStyle w:val="Heading2"/>
      </w:pPr>
      <w:r>
        <w:t>Regeste</w:t>
      </w:r>
    </w:p>
    <w:p>
      <w:r>
        <w:t>Pregiudizio difficilmente riparabile</w:t>
      </w:r>
    </w:p>
    <w:p>
      <w:pPr>
        <w:pStyle w:val="Heading2"/>
      </w:pPr>
      <w:r>
        <w:t>Erwägungen</w:t>
      </w:r>
    </w:p>
    <w:p>
      <w:r>
        <w:rPr>
          <w:b/>
        </w:rPr>
        <w:t>E. 4</w:t>
      </w:r>
    </w:p>
    <w:p>
      <w:r>
        <w:t>Dispositivo n. 1i) dell’ordinanza 21 dicembre 2011: Per quanto concerne l’edizione dalla convenuta, nel termine di 30 giorni, dei documenti relativi alla stipulazione del prestito obbligazionario Euro medium term note __________ 2005-1.12.08 floating rate note, valore __________, la reclamante sostiene che l’ordinanza non è sufficientemente precisa in quanto non capisce cosa deve produrre, non avendo mai stipu­lato prestiti obbligazionari, che si tratta dunque di una fishing expedition, che l’edizione richiesta non ha rilevanza con i fatti di causa e che l’attrice non ha indicato i fatti che intende provare. Le summenzionate censure non sono atte a ritenere dato il rischio di un pregiudizio difficilmente riparabile. Dagli atti non risulta innanzitutto che la convenuta abbia chiesto al Pretore di meglio precisare la richiesta di edizione. Ad ogni modo, se il giudice ammette l’edizione di un documento che la convenuta non conosce o non possiede, essa può procedere come previsto all’art. 208 CPC-TI (giuramento di edizione). Il fatto di non essere in possesso del documento non è un motivo per respingere a priori la domanda di edizione. Correttamente la prova va comunque ammessa e, dandosene il caso, la parte richiesta deve in seguito presentare il giuramento di edizione ( Cocchi/Trezzini , CPC-TI, 2000, n. 701 ad art. 208). Si osserva poi che i documenti di cui è chiesta l’edizione sono pertinenti ai fatti di causa, l’attrice avendo in particolare rimproverato alla convenuta di aver immesso nel suo patrimonio titoli denominati “Euro medium term note __________ HF 2005-1.12.08 floating rate note, valore __________”, di cui chiede per l’appunto il rendiconto. Non è inoltre dato a capire che tipo di pregiudizio possa arrecare alla convenuta l’edizione oggetto di esame né in quale modo sia atta a pregiudicare la posizione complessiva della reclamante in relazione al processo. Di conseguenza, in mancanza di una delle premesse fondamentali del reclamo, il gravame su questo punto deve essere dichiarato inammissibile .</w:t>
      </w:r>
    </w:p>
    <w:p>
      <w:r>
        <w:rPr>
          <w:b/>
        </w:rPr>
        <w:t>E. 5</w:t>
      </w:r>
    </w:p>
    <w:p>
      <w:r>
        <w:t>Dispositivo n. 1ii) dell’ordinanza 21 dicembre 2011: Per quanto riguarda l’edizione dalla convenuta, nel termine di 30 giorni, dei documenti relativi alle commissioni ed emolumenti vari percepite dalla __________ per il piazzamento delle obbligazioni, così come le commissioni ricavate dai clienti, la reclamante rile­va che si tratta di documenti strettamente confidenziali, coperti dal segreto commerciale e d’affari, la cui pubblicazione le cause­rebbe un grave danno economico e commerciale. Inoltre ritiene che non sia dato a capire quali fatti devono essere provati. Dagli atti di causa emerge che con la prova richiesta, l’attrice vuole dimostrare che la convenuta ha tratto a suo discapito un guadagno dall’operazione con la banca __________. Fonda­mentale per la presente procedura è unicamente l’ammontare del guadagno e non le singole relazioni con gli altri clienti. Ciò posto, la rilevanza del mezzo di prova non può essere esclusa a priori. È pur vero che se venissero rivelati i nomi degli altri clienti della banca – gli stessi essendo a loro volta tutelati dal diritto bancario – ciò potrebbe ledere i loro legittimi interessi e causare un danno economico alla convenuta, ragione per cui deve essere ritenuto dato il rischio di un pregiudizio difficilmente riparabile. Alfine di salvaguardare il segreto commerciale e d’affari è però sufficiente che il Pretore adotti le opportune misure affinché l’ispezione dei documenti non ecceda i bisogni della causa (art. 202 cpv. 1-3 CPC-TI). Così il primo giudice ha la facoltà segnatamente di prendere conoscenza dei menzionati documenti ad esclusione della controparte (art. 185 cpv. 2 e 3 CPC-TI). La decisione su quali siano le misure necessarie ed adeguate spetta al primo giudice, non è di competenza dell’autorità di reclamo. Su questo punto il reclamo è quindi respinto.</w:t>
      </w:r>
    </w:p>
    <w:p>
      <w:r>
        <w:rPr>
          <w:b/>
        </w:rPr>
        <w:t>E. 6</w:t>
      </w:r>
    </w:p>
    <w:p>
      <w:r>
        <w:t>Dispositivo n. 1iii) dell’ordinanza 21 dicembre 2011: In merito all’edizione dalla convenuta dei docum enti relativi alla fissazione del prezzo di mercato del Euro medium term note __________ HF 2005-1.12.08 floating rate note, la reclamante fa valere un accertamento manifestamente errato dei fatti da parte del Pretore, senza però minimamente addurre né tantomeno rendere verosimile il rischio di un pregiudizio difficilmente riparabile. Per questo motivo il reclamo su questo punto è inammissibile.</w:t>
      </w:r>
    </w:p>
    <w:p>
      <w:r>
        <w:rPr>
          <w:b/>
        </w:rPr>
        <w:t>E. 7</w:t>
      </w:r>
    </w:p>
    <w:p>
      <w:r>
        <w:t>Dispositivo n. 2 dell’ordinanza 21 dicembre 2011: Per quanto concerne le audizioni testimoniali di __________, __________, __________, __________ e __________, la reclamante sostiene che il pregiudizio difficilmente riparabile consiste nell’allungamento dei tempi processuali e nel danno economico causato dal tempo di lavoro perso dai dipendenti per partecipare alle udienze, ritenuto che i testi non sono neppure stati coinvolti nella fattispecie. Va qui ricordato che, in linea di principio, l’assunzione di una prova non è di per sé atta a creare alle parti un pregiudizio giuridico irreparabile (sentenza del Tribunale federale 4A_635/2011 del 10 gennaio 2012). L’argomentazione della convenuta non è atta a rendere verosimile il rischio di un pregiudizio difficilmente riparabile. C ome visto sopra, il pregiudizio deve pregiudicare la posizione complessiva della reclamante nella procedura, ciò che non è il caso nella presente fattispecie e che la reclamante neppure sostiene. Per quanto concerne l’allungamento dei tempi processuali, si rileva che ciò è insito in ogni processo allorquando devesi procedere all’istruttoria, che richiede comunque del tempo. Ammettere apoditticamente l’esistenza di un pregiudizio difficilmente riparabile per il solo fatto che v’è il rischio di un prolungamento della procedura significherebbe che il giudice dovrebbe rifiutare le prove offerte dalle parti. Altrettanto vale per l’ipotizzato danno economico causato dal tempo di lavoro perso dai dipendenti per partecipare alle udienze. Si osserva infine che è evidente che il coinvolgimento dei testimoni chiamati a deporre s arà da verificare dal Pretore, il quale dovrà poi, secondo il suo libero convincimento ed apprezzamento, valutare le prove e determinare la rilevanza delle testimonianze nell’ambito della causa (art. 90 CPC-TI). Di conseguenza il reclamo è inammissibile anche su questo punto.</w:t>
      </w:r>
    </w:p>
    <w:p>
      <w:r>
        <w:rPr>
          <w:b/>
        </w:rPr>
        <w:t>E. 8</w:t>
      </w:r>
    </w:p>
    <w:p>
      <w:r>
        <w:t>Dispositivo n. 3 dell’ordinanza 21 dicembre 2011: Per quanto riguarda la perizia sul grado di rischio degli investimenti contestati, in particolare sull’esposizione del RE 1 verso la banca __________, sul modo di quotazione dei prodotti contestati, sull’andamento del titolo fino al fallimento della banca rispettivamente al momento dell’acquisto da parte dell’attrice, la reclamante asserisce che la perizia crea un pregiudizio temporale e che l’ordinanza non motiva perché quest’ultima é necessaria. Va qui ribadito che il mero “pregiudizio temporale” così come fatto valere dalla convenuta non costituisce un pregiudizio ai sensi dell’art. 319 lett. b cifra 2 CPC, in particolare ritenuto che RE 1 è parte convenuta nel procedimento OA.2010.182. L’attrice ha comunque il diritto di dimostrare i fatti contestati con i mezzi di prova che ritiene più adatti allo scopo. In tal senso, se il Pretore ritiene, come nel caso concreto, che la perizia sia un mezzo di prova idoneo a comprovare i fatti rilevanti e contestati (art. 184 cpv. 1 e 2 CPC-TI), in particolare il rischio degli investimenti bancari e di conseguenza il danno subito dalla cliente e la responsabilità della banca, egli non deve ulteriormente motivare la sua decisione di ammetterla.</w:t>
      </w:r>
    </w:p>
    <w:p>
      <w:r>
        <w:rPr>
          <w:b/>
        </w:rPr>
        <w:t>E. 9</w:t>
      </w:r>
    </w:p>
    <w:p>
      <w:r>
        <w:t>Dispositivo n. 4 dell’ordinanza 21 dicembre 2011: In merito all’edizione da C__________ , come ad istanza di edizione allegata, la reclamante sostiene che l’edizione è irrilevante in quanto lei avrebbe già comprovato in duplica l’esistenza di C__________  quale compagnia di assicurazione e solleva infine che l’edizione viola il segreto professionale commerciale e d’affari del terzo. Se non che, il fatto che la reclamante ritenga di aver già dimostrato in modo inequivocabile i fatti che con i documenti in questione si vuole provare non è punto rilevante, determinante essendo invero il convincimento del Pretore. Si evidenzia infine che un’eventuale violazione del segreto professionale commerciale e d’affari di C__________  sarà, se del caso, da far valere da questa quando il Pretore le assegnerà il termine per le osservazioni come previsto dall’art.211 cpv. 3 CPC-TI. Di conseguenza tutte le censure sollevate dalla reclamante su questo punto sono inammissibili.</w:t>
      </w:r>
    </w:p>
    <w:p>
      <w:r>
        <w:rPr>
          <w:b/>
        </w:rPr>
        <w:t>E. 10</w:t>
      </w:r>
    </w:p>
    <w:p>
      <w:r>
        <w:t>Le spese processuali, disciplinate dalla legge sulla tariffa giudiziaria (LTG) entrata in vigore il 1° gennaio 2011, la quale dispone che la tassa di giustizia è fissata in considerazione del valore, della natura e della complessità della causa (art. 2 cpv. 1 LTG), seguono la soccombenza. Giusta l’art. 14 LTG la tassa di giustizia delle decisioni su reclamo del Tribunale d’appello essendo fissata tra fr. 100.- e fr. 10'000.-. Nel caso concreto, le spese di giustizia vanno fissate in complessivi fr. 600.- e sono poste a carico della reclamante, praticamente del tutto soccombente. Avendo la controparte dovuto inoltrare osservazioni, le vengono assegnate ripetibili in conformità al Regolamento sulla tariffa per i casi di patrocinio d’ufficio e di assistenza giudiziaria e per la fissazione delle ripetibili (Rtar del 19 dicembre 2007). Per i quali motivi pronuncia: 1. Il reclamo 11 gennaio 2012 di RE 1, nella misura in cui è ammissibile, è respinto. 2. Per quanto riguarda l’edizione di cui al dispositivo n. 1ii) dell’ordinanza 21 dicembre 2011 concernente i documenti relativi alle commissioni ed emolumenti vari percepite dalla __________ per il piazzamento delle obbligazioni, così come le commissioni ricavate dai clienti, il Pretore prenderà le opportune misure per garantire il segreto commerciale e d’affari della parte convenuta. 3. Le spese processuali di fr. 600.-, già anticipate dalla reclamante, restano a suo carico, con l’obbligo di rifondere altresì alla controparte CO 1 fr. 800.- a titolo di ripetibili . 4. Notificazione (unitamente alle osservazioni 13 febbraio 2012 alla reclamante RE 1): - - Comunicazione alla Pretura del Distretto di Lugano, sezione 1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