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13.2008.7 vom 1. April 2011</w:t>
      </w:r>
    </w:p>
    <w:p>
      <w:r>
        <w:t>TI Tribunale d'appello, 2011-04-01, IT</w:t>
      </w:r>
    </w:p>
    <w:p>
      <w:r>
        <w:rPr>
          <w:b/>
        </w:rPr>
        <w:t xml:space="preserve">Quelle: </w:t>
      </w:r>
      <w:r>
        <w:t>https://mcp.opencaselaw.ch/entscheid/ti_gerichte_13.2008.7</w:t>
      </w:r>
    </w:p>
    <w:p>
      <w:r>
        <w:t>FR: TI_GERICHTE 13.2008.7 du 1 avril 2011</w:t>
      </w:r>
    </w:p>
    <w:p>
      <w:r>
        <w:t>IT: TI_GERICHTE 13.2008.7 del 1 aprile 2011</w:t>
      </w:r>
    </w:p>
    <w:p>
      <w:pPr>
        <w:pStyle w:val="Heading2"/>
      </w:pPr>
      <w:r>
        <w:t>Regeste</w:t>
      </w:r>
    </w:p>
    <w:p>
      <w:r>
        <w:t>Arbitrato: diritto di essere sentiti e limiti del giudizio</w:t>
      </w:r>
    </w:p>
    <w:p>
      <w:pPr>
        <w:pStyle w:val="Heading2"/>
      </w:pPr>
      <w:r>
        <w:t>Erwägungen</w:t>
      </w:r>
    </w:p>
    <w:p>
      <w:r>
        <w:rPr>
          <w:b/>
        </w:rPr>
        <w:t>E. 1</w:t>
      </w:r>
    </w:p>
    <w:p>
      <w:r>
        <w:t>Fino al 31 dicembre 2010 l'art. 36 CIA prescriveva imperativamente che contro un lodo potesse essere interposto ricorso per nullità davanti al tribunale superiore della giurisdizione civile ordinaria in cui aveva sede il tribunale arbitrale. A tale principio sfuggivano solo i lodi cui si riferiva l'art. 176 cpv. 1 LDIP (art. 191 LDIP) o quelli che le parti rinunciavano a impugnare dopo la notifica ( Rüede/Hadenfeldt , Schweizerisches Schieds­gerichts­recht, 2 ª edizione, pag. 334 con richiami). Giurisdizione per nullità era, nel Cantone Ticino, la Camera civile di appello (art. 2 del decreto legislativo concernente l'adesione del Cantone Ticino al CIA), la quale applicava per analogia le norme sul ricor­so per cassazione (art. 3 cpv. 3 del decreto citato). Il termine d'impugnazione era di 30 giorni (art. 37 cpv. 1 CIA). In concreto il lodo è stato notificato al convenuto il 3 ottobre 2008. Tempestivo, sotto questo profilo il ricorso in esame è pertanto ricevibile.</w:t>
      </w:r>
    </w:p>
    <w:p>
      <w:r>
        <w:rPr>
          <w:b/>
        </w:rPr>
        <w:t>E. 2</w:t>
      </w:r>
    </w:p>
    <w:p>
      <w:r>
        <w:t>Un ricorso per nullità aveva natura eminentemente cassatoria (art. 40 cpv. 1 CIA), con le eccezioni – estranee al caso in rassegna – dell'art. 36 lett. b (incompetenza) e lett. i (ammontare delle indennità da corrispondere agli arbitri). La possibilità di statuire nel merito o di rinviare gli atti con indicazioni vincolanti al primo giudice data in esito a un ricorso per cassazione (art. 332 cpv. 2 CPC ticinese) non si applicava a un ricorso per nullità. L'autorità giudiziaria chiamata a giudicare un ricorso per nullità poteva sì rinviare il lodo al tribunale arbitrale per rettifica o completazione (art. 39 CIA), ma solo ove il lodo fosse affetto da un vizio minore cui il tribunale arbitrale potesse rimediare agevolmente senza nuova istruttoria, segnatamente in caso di oscurità del dispositivo o di omissione di giudizio su singole richieste ( Poudret , Arbitrage concordataire, FJS n. 464c, pag. 7 in basso; v. anche Rüede/Hadenfeldt , op. cit., pag. 353 n. 3). In tutti gli altri casi essa doveva limitarsi ad annullare il lodo. Nella misura in cui chiede che “l'incarto venga trasmesso all'arbitro per nuovo giudizio secondo le indicazioni del giudice” il ricorrente formula perciò una domanda irricevibile. Ricevibile è se mai la richiesta formulata in subordine da CO 3, CO 1 e CO 2 nelle osservazioni al ricorso, ma solo nei limiti testé precisati.</w:t>
      </w:r>
    </w:p>
    <w:p>
      <w:r>
        <w:rPr>
          <w:b/>
        </w:rPr>
        <w:t>E. 3</w:t>
      </w:r>
    </w:p>
    <w:p>
      <w:r>
        <w:t>Al suo memoriale il ricorrente annette copia autentica di due rogiti notarili, un estratto del registro fondiario e uno dei registri censuari di __________. Egli richiama inoltre non meglio precisata “documentazione” dalla Pretura del Distretto di Vallemaggia e dal notaio divisore delle comunioni ereditarie fu __________ e fu __________ (memoriale, punto 3). Se non che, nuovi mezzi di prova erano inammissibili in un ricorso per nullità, come erano inammissibili in un ricorso per cassazione a norma degli art. 327 segg. CPC ticinese (riferimenti in: Cocchi/Trezzini , CPC ticinese massimato e commentato, Lugano 2000, n. 2 ad art. 331). Nella misura in cui non figurano già agli atti del fascicolo sulla base del quale l'arbitro ha emanato il lodo, i documenti in rassegna non possono quindi essere presi in considerazione. Analogo principio vale per i due documenti che CO 3, CO 1 e CO 2 accludono alle osservazioni al ricorso.</w:t>
      </w:r>
    </w:p>
    <w:p>
      <w:r>
        <w:rPr>
          <w:b/>
        </w:rPr>
        <w:t>E. 4</w:t>
      </w:r>
    </w:p>
    <w:p>
      <w:r>
        <w:t>Dal profilo formale il ricorrente censura una violazione dell ' art. 25 lett. c CIA (diritto di assistere all'assunzione delle prove e ai dibattimenti orali ordinati dal tribunale), rimproverando all ' arbitro di non avergli sottoposto, una volta chiusa l'istruttoria, i suoi accertamenti circa il valore delle particelle n. __________, __________ e __________ RFD di __________, sezione di __________, come pure della particella n. __________, sezione di __________, valore che l'arbitro ha ridotto complessivamente di oltre fr. 93 000.– rispetto alla stima eseguita dall'ing. __________ su incarico delle parti prima di cominciare l'arbitrato. E tali particelle sono poi state assegnate a CO 3, CO 1 e CO 2. L'art. 25 lett. c CIA essendo – ricorda il ricorrente – una norma imperativa di procedura, la sua violazio­ne comporta l'annullamento del lodo già per questioni d'ordine (art. 36 lett. d CIA). a) La stima dei valori immobiliari è stata oggetto nella fattispecie di lunghe e accese discussioni. Il ricorrente ne ha parlato con l ' arbitro il 21 dicembre 2006, il 20 marzo e il 18 aprile 2007 (verbali interni n. 7, 15 e 20, nella rubrica “D” del classificatore rosso). Ne ha conferito ancora il 10 maggio 2007 in presenza dei patrocinatori delle parti (verbale interno n. 25: “Vengono illustrati in dettaglio i valori e le caratteristiche degli stabili contemplati, per mezzo delle schede di calcolo e della relativa documentazione fotografica”), il 22 maggio 2007, assistito dal suo avvocato (verbale interno n. 28) e il 15 giugno 2007, quando ha confrontato le stime dell'arbitro con quelle dell ' ing. __________ e si è sentito avvertire dall'arbitro che talune valutazioni si distanziavano da quelle dell'ing. __________ “per creare una base di riparto uniforme”. In quella circostanza l'arbitro ha risposto anche a domande del ricorrente sul valore della particella n. __________ RFD di __________, sezione di __________, e sulla riduzione del valore relativo alla “casa d ' abitazione”. IS 1 non consta avere mosso obiezioni (verbale interno n. 31). In seguito IS 1 si è nuovamente incontrato con l ' arbitro il 18 settembre, il 15 ottobre e il 12 novembre 2007. Durante il primo incontro egli non risulta essere tornato sulla questione delle stime (verbali interno n. 34). Nel corso del secondo egli ha ricevuto una proposta elaborata dall ' arbitro per lo scioglimento delle comproprietà (verbale interno n. 36) e in occasione dell ' ultimo incontro ha consegnato all'arbitro stesso un memoriale in cui presentava le sue osservazioni e le sue richieste, non senza esprimersi puntualmente sui valori di determinati fondi (la particella n. __________ RFD di __________, sezione di __________, la particella n. __________ NMC di __________ e un suo monte situato a __________: verbale interno n. 37). IS 1 ha quindi potuto esporre in più occasioni la sua opinione sulle stime prospettate dall ' arbitro e ha potuto confrontarle con quelle dell'ing. __________, senza che i suoi diritti – compreso quello di offrire o di sollecitare nuove prove – siano stati disattesi. b) Per quanto riguarda in specie le particelle n. __________, __________ e __________ RFD di __________, sezione di __________, come pure la particella n. __________, sezione di __________, il 10 maggio 2007 l'avvocato del ricorrente ha potuto esaminare nei dettagli “i valori e le caratteristiche degli stabili contemplati”, senza che risulti avere eccepito alcunché (verbale interno n. 25, pag. 2). Durante una successiva riunione del 22 maggio 2007 IS 1 ha invero manifestato vivo disappunto per i correttivi apportati dall'arbitro alle stime dell ' ing. __________ (verbale interno n. 28), tanto da inoltrare l ' indomani un “ritiro adesione a procedura arbitrato IS 1/CO 1” al Pretore del Distretto di __________ (nell'inc. DI.2006.64 della Pretura, agli atti). In quello scritto, tuttavia, egli insorgeva contro due proposte di divisione elaborate dall'arbitro l '</w:t>
      </w:r>
    </w:p>
    <w:p>
      <w:r>
        <w:rPr>
          <w:b/>
        </w:rPr>
        <w:t>E. 8</w:t>
      </w:r>
    </w:p>
    <w:p>
      <w:r>
        <w:t>Quanto ai rimedi giuridici esperibili contro la presente sentenza sul piano federale (art. 112 cpv. 1 lett. d LTF), ai fini dell' art. 74 cpv. 1 lett. b LTF la soglia di fr. 30 000.– per un eventuale ricorso in materia civile è senz'altro raggiunta. Per questi motivi, vista sulle spese anche la tariffa giudiziaria, pronuncia: 1.   Nella misura in cui è ricevibile, il ricorso è accolto e il lodo impugnato è annullato. 2.   Gli oneri processuali, consistenti in: a) tassa di giustizia      fr. 2950.– b) spese                         fr.     50.– fr. 3000 .– da anticipare dal ricorrente, sono posti solidalmente a carico di  CO 3, CO 1 e CO 2, che rifonderanno al ricorrente, sempre con vincolo di solidarietà, fr. 3750.– complessivi per ripetibili. 3.   Intimazione: –. –.. Comunicazione: – Ufficio del registro fondiario del Distretto di Vallemaggia, Cevio; – a rbitro unico,. Per la seconda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