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12.2024.40 vom 11. Juni 2024</w:t>
      </w:r>
    </w:p>
    <w:p>
      <w:r>
        <w:t>TI Tribunale d'appello, 2024-06-11, IT</w:t>
      </w:r>
    </w:p>
    <w:p>
      <w:r>
        <w:rPr>
          <w:b/>
        </w:rPr>
        <w:t xml:space="preserve">Quelle: </w:t>
      </w:r>
      <w:r>
        <w:t>https://mcp.opencaselaw.ch/entscheid/ti_gerichte_12.2024.40</w:t>
      </w:r>
    </w:p>
    <w:p>
      <w:r>
        <w:t>FR: TI_GERICHTE 12.2024.40 du 11 juin 2024</w:t>
      </w:r>
    </w:p>
    <w:p>
      <w:r>
        <w:t>IT: TI_GERICHTE 12.2024.40 del 11 giugno 2024</w:t>
      </w:r>
    </w:p>
    <w:p>
      <w:pPr>
        <w:pStyle w:val="Heading2"/>
      </w:pPr>
      <w:r>
        <w:t>Regeste</w:t>
      </w:r>
    </w:p>
    <w:p>
      <w:r>
        <w:t>Scioglimento di una Sagl per lacune organizzative, assente gerenza; appello tardivo, istanza di restituzione del termine tardiva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Tutti questi motivi conducono a dichiarare l’appello irricevibile e a confermare la decisione di prima istanza.</w:t>
      </w:r>
    </w:p>
    <w:p>
      <w:r>
        <w:rPr>
          <w:b/>
        </w:rPr>
        <w:t>E. 12</w:t>
      </w:r>
    </w:p>
    <w:p>
      <w:r>
        <w:t>Le spese processuali di secondo grado, in assenza di migliori indicazioni, vanno calcolate sulla base di un valore litigioso di fr. 20’000.-, pari al capitale sociale della società risultante a registro di commercio (STF 4A_222/2022 del 19 agosto 2022 consid. 6.2.4, 4A_387/2020 del 17 settembre 2020 consid. 1.2) e seguono la soccombenza (art. 106 CPC). Non si assegnano ripetibili.</w:t>
      </w:r>
    </w:p>
    <w:p>
      <w:r>
        <w:rPr>
          <w:b/>
        </w:rPr>
        <w:t>E. 13</w:t>
      </w:r>
    </w:p>
    <w:p>
      <w:r>
        <w:t>Essendo la presente causa trattata nella procedura sommaria e terminando con un giudizio di inammissibilità, quest’ultimo può essere emanato da questa Camera nella composizione di un giudice unico (art. 48b cpv. 1 lett. a n. 2 e lett. b n. 2 LOG). Per questi motivi, richiamati, per le spese, l’art. 106 CPC nonché la LTG, decide: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