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12.2023.89 vom 3. August 2023</w:t>
      </w:r>
    </w:p>
    <w:p>
      <w:r>
        <w:t>TI Tribunale d'appello, 2023-08-03, IT</w:t>
      </w:r>
    </w:p>
    <w:p>
      <w:r>
        <w:rPr>
          <w:b/>
        </w:rPr>
        <w:t xml:space="preserve">Quelle: </w:t>
      </w:r>
      <w:r>
        <w:t>https://mcp.opencaselaw.ch/entscheid/ti_gerichte_12.2023.89</w:t>
      </w:r>
    </w:p>
    <w:p>
      <w:r>
        <w:t>FR: TI_GERICHTE 12.2023.89 du 3 août 2023</w:t>
      </w:r>
    </w:p>
    <w:p>
      <w:r>
        <w:t>IT: TI_GERICHTE 12.2023.89 del 3 agosto 2023</w:t>
      </w:r>
    </w:p>
    <w:p>
      <w:pPr>
        <w:pStyle w:val="Heading2"/>
      </w:pPr>
      <w:r>
        <w:t>Erwägungen</w:t>
      </w:r>
    </w:p>
    <w:p>
      <w:r>
        <w:rPr>
          <w:b/>
        </w:rPr>
        <w:t>E. 28</w:t>
      </w:r>
    </w:p>
    <w:p>
      <w:r>
        <w:t>giugno 2023 la prima Corte di diritto civile del Tribunale federale, adita su ricorso in materia civile della convenuta, ha annullato e riformato il giudizio d’appello nel senso che la petizione era respinta e ha rinviato la causa a questa Camera “ per nuova fissazione delle ripetibili di prima e seconda istanza ”; che a questo punto si tratta dunque di decidere sulle ripetibili della sede pretorile (inc. n. SE.2021.124 ) e della procedura d’appello (inc. n. 12.2022.47 ) , ritenuto che per la loro quantificazione fanno stato le tariffe cantonali (art. 105 cpv. 2 CPC), mentre che la loro ripartizione tra le parti avviene, di regola, in base alla soccombenza (art. 106 cpv. 1 e 2 CPC); che nelle procedure speciali civili con un valore determinato fino a fr. 20'000.-, come quella in esame, le ripetibili possono essere quantificate in prima istanza tra il 3% e il 17.5% ( art. 11 cpv. 2 lett. b RTar) e in seconda istanza tra il 30% e il 60% dell’importo così ottenuto (art. 11 cpv. 2 lett. a RTar), ritenuto che in entrambi i casi alla somma così calcolata può essere aggiunta l’IVA (art. 14 cpv. 1 RTar); che nel caso concreto, in presenza di un valore litigioso di fr. 19'825.30 e tenuto conto della difficoltà (medio-alta) della lite nonché dell’ampiezza (relativamente contenuta) del lavoro e del tempo impiegato nella pratica dall’avvocato della convenuta (che in particolare, a fronte di una petizione di 8 pagine e di una replica di 6 pagine, ha allestito una risposta di causa di 13 pagine e una duplica di 6 pagine, ha partecipato a 2 udienze e, confrontato con una decisione di 5 pagine, ha redatto un appello di 16 pagine), appare tutto sommato giustificato attribuire alla convenuta e appellante, che di fatto è risultata vincente in entrambi i gradi di giudizio, un’indennità per ripetibili di fr. 2’500.- per la procedura innanzi al Pretore (a fronte di un importo da lei rivendicato, per altro senza alcuna motivazione, di fr. 5'000.-) e un’indennità per ripetibili di fr. 1’500.- per la procedura d’appello; che la presente decisione, non ponendo questioni di principio o di rilevante importanza, può essere emanata da questa Camera nella composizione di un giudice unico (art. 48b cpv. 1 lett. b cifra 3 LOG). Per questi motivi, decide: 1. L’attrice rifonderà alla convenuta fr. 2’500.- per ripetibili di prima istanza (inc. n. SE.2021.124 ) . 2. L’appellata rifonderà all’appellante fr. 1’500.- per ripetibili di seconda istanza (inc. n. 12.2022.47). 3. Notificazione: - - Comunicazione alla Pretura del Distretto di Lugano, sezione 1 Per la seconda Camera civile del Tribunale d’appello Il vicepresidente                                                   Il vicecancelliere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