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12.2023.157 vom 11. März 2024</w:t>
      </w:r>
    </w:p>
    <w:p>
      <w:r>
        <w:t>TI Tribunale d'appello, 2024-03-11, IT</w:t>
      </w:r>
    </w:p>
    <w:p>
      <w:r>
        <w:rPr>
          <w:b/>
        </w:rPr>
        <w:t xml:space="preserve">Quelle: </w:t>
      </w:r>
      <w:r>
        <w:t>https://mcp.opencaselaw.ch/entscheid/ti_gerichte_12.2023.157</w:t>
      </w:r>
    </w:p>
    <w:p>
      <w:r>
        <w:t>FR: TI_GERICHTE 12.2023.157 du 11 mars 2024</w:t>
      </w:r>
    </w:p>
    <w:p>
      <w:r>
        <w:t>IT: TI_GERICHTE 12.2023.157 del 11 marzo 2024</w:t>
      </w:r>
    </w:p>
    <w:p>
      <w:pPr>
        <w:pStyle w:val="Heading2"/>
      </w:pPr>
      <w:r>
        <w:t>Erwägungen</w:t>
      </w:r>
    </w:p>
    <w:p>
      <w:r>
        <w:rPr>
          <w:b/>
        </w:rPr>
        <w:t>E. 10</w:t>
      </w:r>
    </w:p>
    <w:p>
      <w:r>
        <w:t>In definitiva, la convenuta, che in tempi non sospetti aveva ammesso di essere la debitrice delle fatture n. 2018/21 e n. 2018/31, di cui aveva pure confermato l’esistenza e la correttezza (doc. I, testimonianza __________ V__________ p. 2, interrogatorio A__________ __________ p. 3 e 5), non ha dimostrato che si sarebbe in realtà trattato di semplici fatture proforma e nemmeno ha dimostrato di averle poi pagate all’attrice cessionaria, fermo restando che il loro eventuale pagamento alla cedente S__________ __________, per altro a sua volta non provato, non avrebbe comunque migliorato la sua posizione, atteso che unicamente il pagamento alla cessionaria poteva avere effetto liberatorio (art. 1264 CCIt., doc. L e M). Ma se anche, per mera e denegata ipotesi, fosse stato vero quanto da lei ulteriormente sostenuto in questa sede, cioè che “ la realtà è che quasi sicuramente qualcuno al di fuori delle parti in causa ha caricato sul portale / piattaforma di C__________ __________ delle fatture proforma (senza indicarle come tali) affinché ricevesse soldi da un investitore ” (appello p. 8), resterebbe il fatto che essa aveva contribuito alla creazione di quella situazione per aver a suo tempo confermato alla piattaforma C__________ l’esistenza e la correttezza di quelle fatture nonché la sua qualità di debitrice delle stesse, ciò che aveva portato alla loro cessione da S__________ __________ in favore dell’attrice (doc. L e M) e soprattutto aveva fatto sì che quest’ultima anticipasse a S__________ __________ la prima tranche (ossia circa il 90%, doc. AD e AE) del prezzo senza però ottenere la controprestazione prevista, ossia il pagamento da parte della convenuta. Anche in questa ipotesi, il comportamento tenuto dalla convenuta sarebbe dunque tale da fondare una sua responsabilità per il danno così subito dall’attrice.</w:t>
      </w:r>
    </w:p>
    <w:p>
      <w:r>
        <w:rPr>
          <w:b/>
        </w:rPr>
        <w:t>E. 11</w:t>
      </w:r>
    </w:p>
    <w:p>
      <w:r>
        <w:t>Ne discende che l’appello della convenuta dev’essere respinto nella misura in cui è ricevibile. Le spese giudiziarie della procedura di secondo grado, calcolate sulla base del valore qui ancora litigioso di EUR 465'643.50, seguono la soccombenza (art. 106 cpv. 1 CPC). Per questi motivi, richiamati l’art. 106 CPC, la LTG e il RTar decide: I. L’appello 30 novembre 2023 di AP 1 è respinto nella misura in cui è ricevibile. II. Le spese processuali di complessivi CHF 15’000.- sono poste a carico dell’appellante, che rifonderà all’appellata CHF 10’000.- a titolo di ripetibili. III. Notificazione: -     ; -     . Comunicazione alla Pretura del Distretto di Lugano, sezione 1. Per la seconda Camera civile del Tribunale d’appello Il presidente                                                          Il 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