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12.2023.139 vom 23. Januar 2024</w:t>
      </w:r>
    </w:p>
    <w:p>
      <w:r>
        <w:t>TI Tribunale d'appello, 2024-01-23, IT</w:t>
      </w:r>
    </w:p>
    <w:p>
      <w:r>
        <w:rPr>
          <w:b/>
        </w:rPr>
        <w:t xml:space="preserve">Quelle: </w:t>
      </w:r>
      <w:r>
        <w:t>https://mcp.opencaselaw.ch/entscheid/ti_gerichte_12.2023.139</w:t>
      </w:r>
    </w:p>
    <w:p>
      <w:r>
        <w:t>FR: TI_GERICHTE 12.2023.139 du 23 janvier 2024</w:t>
      </w:r>
    </w:p>
    <w:p>
      <w:r>
        <w:t>IT: TI_GERICHTE 12.2023.139 del 23 gennaio 2024</w:t>
      </w:r>
    </w:p>
    <w:p>
      <w:pPr>
        <w:pStyle w:val="Heading2"/>
      </w:pPr>
      <w:r>
        <w:t>Erwägungen</w:t>
      </w:r>
    </w:p>
    <w:p>
      <w:r>
        <w:rPr>
          <w:b/>
        </w:rPr>
        <w:t>E. 12</w:t>
      </w:r>
    </w:p>
    <w:p>
      <w:r>
        <w:t>Ammesso con ciò che nelle particolari circostanze il licenziamento dell’attore dev’essere considerato abusivo per il mancato rispetto dell’ obbligo accresciuto di tutela nei confronti di un lavoratore con un’età avanzata e con una lunga anzianità di servizio, resta da quantificare l’ammontare dell’indennità dovuta in suo favore, che per legge non può superare l’equivalente di sei mesi di salario del lavoratore (art. 336a cpv. 2 CO). Negli allegati preliminari, l’attore ha illustrato con pertinenza, senza che quel suo assunto sia perlopiù stato contestato, quali erano state le conseguenze personali del suo licenziamento (cfr. petizione p. 8 seg., in cui ha in particolare sostenuto che “ a causa dell’età dell’attore, così come della situazione del mercato lavorativo legata alla pandemia COVID-19, il signor AP 1 non è stato in grado di trovare un nuovo posto di lavoro … Il licenziamento ad appena un anno e mezzo dal pensionamento, corroborato dall’impossibilità di trovare un nuovo posto di lavoro, ha comportato un grave danno pensionistico al signor AP 1. In primo luogo l’attore percepirà delle prestazioni AVS inferiori rispetto a quanto avrebbe ricevuto se avesse potuto lavorare fino all’età di pensionamento. Inoltre a causa della prematura fine del rapporto di lavoro il signor AP 1 non è più soggetto alla LPP, e il suo avere previdenziale (2° Pilastro) è stato trasferito su un conto di libero passaggio (art. 2 cpv. 2 LFLP; doc. Q). Ciò comporta che il dipendente non potrà più percepire una pensione, ma unicamente il versamento del capitale … A causa del licenziamento abusivo l’attore è stato costretto a rivolgersi alla cassa disoccupazione. Per poter percepire l’indennità di disoccupazione il signor AP 1 è attualmente costretto ad “andare a timbrare” quattro volte al mese. Questa situazione risulta mentalmente ed emozionalmente molto pesante per il signor AP 1, poiché, in considerazione della sua età, egli è costretto a cercare un posto di lavoro sapendo di non poterlo trovare. Inoltre, le indennità versate dalla cassa di disoccupazione rappresentano solo il 70% del precedente salario, ciò che comporta un ulteriore danno economico ”). Come già rilevato anche nella decisione impugnata, non si può invece ritenere, contrariamente a quanto pure preteso dall’attore, che la modalità con cui gli è stato comunicato il licenziamento, ossia con una convocazione nell’ufficio del direttore e con una conseguente informativa sia verbale sia per iscritto, sia in sé risultata umiliante o svilente della sua personalità. Tenuto conto di queste eccezionali circostanze e di quanto già si è detto nel considerando precedente, segnatamente dell’età e dell’anzianità di servizio dell’attore, nonché dell’assenza di rimproveri nei suoi confronti, si giustifica tutto sommato l’attribuzione a suo favore di un’indennità per licenziamento abusivo pari a quattro mensilità di salario lordo (fr. 21’000.-). Gli interessi di mora su tale somma non decorrono dal 1° settembre 2020, come invece richiesto dall’attore, ma solo dal 1° marzo 2021, ovvero dal giorno successivo alla fine del rapporto di lavoro (TF 4C.414/2005 del 29 marzo 2006 consid. 6).</w:t>
      </w:r>
    </w:p>
    <w:p>
      <w:r>
        <w:rPr>
          <w:b/>
        </w:rPr>
        <w:t>E. 13</w:t>
      </w:r>
    </w:p>
    <w:p>
      <w:r>
        <w:t>Ne discende, in parziale accoglimento dell’appello (nella sua domanda in via principale), che la petizione dev’essere accolta per fr. 21’000.- oltre interessi al 5% dal 1° marzo 2021. Le spese giudiziarie di entrambe le sedi, calcolate sulla base del valore litigioso di fr. 31’500.- , seguono la rispettiva soccombenza delle parti (art. 106 cpv. 2 CPC). Per questi motivi, richiamati l’art. 106 CPC, la LTG e il RTar decide: I. L’appello 25 ottobre 2023 di AP 1 è parzialmente accolto . Di conseguenza la decisione 22 settembre 2023 del Pretore aggiunto della giurisdizione di Locarno-Campagna è così riformata: 1. La petizione è parzialmente accolta. Di conseguenza AO 1, ora AO 1, è condannata a pagare a AP 1 l’importo di fr. 21’000.- oltre interessi al 5% dal 1° marzo 2021 . 2. La tassa di giustizia di fr. 3'000.- e le spese di fr. 495.- sono poste per 1/3 a carico dell’attore e per 2/3 a carico della convenuta, che rifonderà alla controparte fr. 2’200.- per ripetibili parziali. II. Le spese processuali di fr. 4'200.- sono poste per 1/3 a carico dell’appellante e per 2/3 a carico dell’appellata, che rifonderà alla controparte fr. 1’500.- per ripetibili parziali. III. Notificazione: -      ; -     . Comunicazione alla Pretura della giurisdizione di Locarno-Campagna. Per la seconda Camera civile del Tribunale d'appello Il presidente                                                          Il 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