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12.2022.47 vom 2. August 2022</w:t>
      </w:r>
    </w:p>
    <w:p>
      <w:r>
        <w:t>TI Tribunale d'appello, 2022-08-02, IT</w:t>
      </w:r>
    </w:p>
    <w:p>
      <w:r>
        <w:rPr>
          <w:b/>
        </w:rPr>
        <w:t xml:space="preserve">Quelle: </w:t>
      </w:r>
      <w:r>
        <w:t>https://mcp.opencaselaw.ch/entscheid/ti_gerichte_12.2022.47</w:t>
      </w:r>
    </w:p>
    <w:p>
      <w:r>
        <w:t>FR: TI_GERICHTE 12.2022.47 du 2 août 2022</w:t>
      </w:r>
    </w:p>
    <w:p>
      <w:r>
        <w:t>IT: TI_GERICHTE 12.2022.47 del 2 agosto 2022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maggio 2019 consid. 5.1.1).</w:t>
      </w:r>
    </w:p>
    <w:p>
      <w:r>
        <w:t>Lonere della prova circa lesistenza di un errore essenziale incombe alla parte che lo invoca(cfr. TF4A_641/2010 del 23 febbraio 2011 consid. 3.5.1, 4A_331/2016dell8 febbraio 2017 consid. 5.2,4A_108/2019 del 22 gennaio 2020 consid. 2.1).</w:t>
      </w:r>
    </w:p>
    <w:p>
      <w:r>
        <w:t>7.2.Nel caso concreto, la convenuta, che ha sostenuto di aver creduto con certezza nel dicembre 2019 che la stagione turistico-commerciale 2020 si sarebbe poi avviata normalmente, non ha assolutamente provato se e in quale modo questa sua presunta certezza dovesse però essere nota o comunque riconoscibile a F__________ __________ di modo che questultimo avrebbe dovuto rendersi conto che quella circostanza costituiva una condizione del contratto e non una semplice aspettativa. Essa non ha in effetti addotto alcun elemento fattuale particolare a sostegno di una tale tesi, il solo fatto che, per lei, la normalità della stagione 2020 costituisse una premessa fondamentale e che dunque quella stagione fosse stata pianificata come normale, senza alcun tipo di limitazione e di restrizione (cfr. teste C__________ __________ p. 3) non essendo atto a dimostrarlo. Stando così le cose, ben si può ritenere, con il giudice di prime cure, che la circostanza costituisse unicamente unaspettativa delusa, in sé non idonea a invalidare il contratto di lavoro, che di principio rimaneva così valido (cfr. DTF 128 III 70 consid. 1b; TF 4A_108/2019 del 22 gennaio 2020 consid. 2.1).</w:t>
      </w:r>
    </w:p>
    <w:p>
      <w:r>
        <w:t>8.Accertato con ciò, in assenza di una valida dichiarazione di annullamento per errore essenziale da parte della convenuta, che il contratto di lavoro con F__________ __________ era rimasto valido, si tratta ora di stabilire se, come da lei contestato anche in questa sede, la stessa fosse tenuta a pagargli lo stipendio nonostante costui non avesse più fornito la prestazione lavorativa, essendo stato inizialmente dispensato dal farlo (cfr. doc. D) e non essendo poi stato autorizzato a riprendere il lavoro nonostante una sua ulteriore esplicita richiesta in tal senso (cfr. doc. H).</w:t>
      </w:r>
    </w:p>
    <w:p>
      <w:r>
        <w:t>8.1.A prescindere da quanto si dirà nel prossimo considerando, il quesito deve senzaltro trovare risposta affermativa se non altro a far tempo dall8 giugno 2020, momento in cui, per stessa ammissione della convenuta, il divieto di effettuare le corse turistiche, gli eventi e le corse speciali lacustri sui battelli era stato revocato, poco importando invece, a tale proposito, se la convenuta, come dichiarato a p. 2 segg. dal teste C__________ __________, per motivi commerciali, e meglio per la sostanziale mancanza di clientela, non abbia poi ritenuto di effettuare quelle corse e quegli eventi sin da subito ma solo dal 16 giugno 2020 e in concreto li abbia anzi effettuati, per poter meglio attuare le misure sanitarie di distanziamento, con battelli che F__________ __________ non era abilitato a pilotare (cfr. appello p. 5).</w:t>
      </w:r>
    </w:p>
    <w:p>
      <w:r>
        <w:t>8.2.Ma, comunque, il quesito devessere risolto affermativamente anche per il periodo precedente, ossia dal 1° aprile 2020, dovendosi ammettere già da allora lesistenza di una situazione di mora del datore di lavoro ai sensi dellart. 324 cpv. 1 CO. Nonostante la questione sia controversa in dottrina (a favore:Wohlwend, Arbeitsleistung und Lohn zu Zeiten des Corona-Virus, Diskussionspapier 13 marzo 2020 p. 6 e 11;Schwaab, Le travailleur en quarantaine, in Jusletter 23 marzo 2020 n. 5 seg.;Geiser/Müller/Pärli, Klärung arbeitsrechtlicher Fragen im Zusammenhang mit dem Coronavirus, in Jusletter 23 marzo 2020 n. 22, 39 e 92;Tschannen, Das Corona-Massnahmenpaket des Bundesrats, in Jusletter 14 aprile 2020 n. 32;Geiser, Arbeitsrechtliche Regelungen im Zusammenhang mit dem Coronavirus, in AJP 2020 p. 551;Pärli/Eggmann, Corona und die Arbeitwert - Bestandsaufnahme und Würdigung der aktuellen Rechtslage, in Jusletter 8 febbraio 2021 n. 29 segg.;Schwaab, Le risque de pandémie et lobligation de payer le salaire, in Jusletter 12 aprile 2021 n. 11, 29 segg.; di parere opposto:Dunand/Wyler, Quelques implications du coronavirus en droit suisse du travail, in Newsletter DroitDuTravail.ch 9 aprile 2020[doc. 10]p. 3 segg.;Pietruszak, Lockdown und Lohnfortzahlung, in Jusletter del 14 aprile 2020[doc. 7] n. 13 segg.;Suter-Sieber, Lohn und Kurzarbeitsentschädigung während Kurzarbeit, in Jusletter 18 maggio 2020 [doc. 8] n. 7 segg.;Wildhaber, Das Arbeitsrecht in Pandemiezeiten, in ZSR-Sondernummer 2020 [doc. 9] p. 168 seg.;Müller, Rechte und Pflichten von Arbeitgebern im Hinblick auf das Epidemiegesetz, p. 78 seg.;Blesi/Hirsiger/Pietruszak, COVID-19: Ein Panorama der Rechtsfragen zur Corona Krise, §2 Arbeitsrecht, n.</w:t>
      </w:r>
    </w:p>
    <w:p>
      <w:r>
        <w:rPr>
          <w:b/>
        </w:rPr>
        <w:t>E. 11</w:t>
      </w:r>
    </w:p>
    <w:p>
      <w:r>
        <w:t>segg.;Graber/Kalbermatten, Corona und Arbeitsrecht, in Expert Focus 8/2020 p. 491;von Zedtwitz/Keller, in Etter/Facincani/Sutter[ed.],Arbeitsvertrag, n. 28 ad art. 324 CO;Perrenoud, Commentaire Romand, 2ªed., n. 8 ad art. 324 CO) e non sia ancora stata risolta dal Tribunale federale, per la scrivente Camera, che si è per altro allineata alle indicazioni fornite il 9 marzo 2020 dalla SECO (cfr. https://www.doku.arbeitsrechtler.ch/Seco_FAQ_Pandemia_200311.pdf n. 19) e alla giurisprudenza cantonale nota sino ad oggi (cfr. la decisione 14 febbraio 2022 inc. n. AH210123-L/U dellArbeitsgericht di Zurigo, sia pure nel frattempo appellata, citata daChanson, Corona &amp; Arbeitsrecht - Factsheet mit Fundstellen zu Vorschriften / Informationen, in https://praxis.arbeitsrechtler.ch/Chanson_Factsheet_Corona-Fundstellen.pdf p. 20), limpossibilità di svolgere lattività lavorativa a seguito di un divieto desercizio ordinato dalle autorità per fronteggiare una pandemia, come quella di COVID-19, è una circostanza che rientra nel rischio commerciale e dimpresa del datore di lavoro e non costituisce invece un motivo legittimo ai sensi dellart. 91 CO (o ancora dellart. 119 cpv. 1 CO) tale da far venir meno la mora del datore di lavoro e con ciò il suo obbligo di pagamento del salario del dipendente previsto dallart. 324 cpv. 1 CO. LAlta Corte ha in effetti già avuto modo di stabilire che questultima disposizione, che è una norma speciale rispetto almeno allart. 119 cpv. 1 CO (cfr. DTF 124 III 346 consid. 2a), è applicabile non solo quando lattività lavorativa non può essere prestata per colpa del datore di lavoro ma anche quando limpossibilità della prestazione lavorativa è riconducibile a un motivo che ricade nella sua sfera di rischio (cfr. DTF 124 III 346 consid. 2a; TF 4A_291/2008 del 2 dicembre 2008 consid. 3.2, secondo cui non è necessario che in tal caso al datore di lavoro possa essere ascritta una colpa, bastando che il motivo alla base dellimpossibilità della prestazione lavorativa non ricada nella sfera di rischio del lavoratore, fermo restando che determinante èsempresapere nella sfera di rischio di chi ricada levento rilevante), nel quale rientrano pure il caso fortuito e la forza maggiore (cfr. TF 4A_291/2008 del 2 dicembre 2008 consid. 3.2). Ed è incontestabile che la chiusura di unimpresa, o di unintera categoria di imprese, ordinata dalle autorità senza colpa delle parti in causa (cfr.Rehbinder/Stöckli, Berner Kommentar, n. 39 ad art. 324 CO), segnatamente a seguito di una pandemia, costituisca per lappunto un caso di forza maggiore (ossia un evento imprevedibile e straordinario che sopraggiunge con una violenza a cui non si può resistere, cfr. DTF 102 Ib 257 consid. 5, 111 II 429 consid. 1b; TF 4C.45/2005 del 18 maggio 2005 consid. 4.2.3) implicante una tale soluzione.</w:t>
      </w:r>
    </w:p>
    <w:p>
      <w:r>
        <w:t>9.La convenuta ha evidenziato che dalle pretese dellattrice doveva in ogni caso essere dedotto limporto complementare che questultima aveva corrisposto a F__________ __________ per il mese di aprile 2020 con il conteggio di cui al doc. R1, pari a fr. 1'789.90, e ciò siccome il giudice di prime cure non aveva considerato che in quel mese il lavoratore sarebbe stato impiegato solo al 50%.</w:t>
      </w:r>
    </w:p>
    <w:p>
      <w:r>
        <w:t>La censura devessere respinta. Come si è visto, lattrice, con la petizione, aveva in effetti preteso la rifusione di fr. 19'825.30, importo che a suo dire corrispondeva alle indennità di disoccupazione da lei versate al lavoratore dallaprile allottobre 2020 (cfr. doc. O), e, confrontata con la contestazione di risposta della controparte circa la correttezza delle somme corrisposte, con la replica aveva poi provveduto a produrre, quali doc. R-Z, i giustificativi dei relativi versamenti mensili. Ritenuto che quei giustificativi non erano in seguito stati contestati dalla convenuta e che il totale dei versamenti risultanti dagli stessi ammontava in realtà a fr. 22'556.85 (doc.R: fr. 1'993.30; doc. R1: fr. 1'789.80; doc. S: fr. 3'611.15; doc. T: fr. 3'783.10; doc. U: fr. 2'715.85; doc. V: fr. 2'388.75; doc.W: fr. 2'870.55; doc. Z: fr. 3'404.35), la deduzione dellimporto complementare di cui al doc. R1, di fr. 1'789.90, pretesa dalla convenuta, quandanche dovesse essere ammessa, non toglierebbe che la petizione poteva e doveva essere accolta integralmente, ossia per i fr. 19'825.30 azionati.</w:t>
      </w:r>
    </w:p>
    <w:p>
      <w:r>
        <w:t>10.Manifestamente infondata è pure lultima tesi della convenuta secondo cui la petizione sarebbe stata costitutiva di un abuso di diritto. Il fatto che lattrice, nellipotesi in cui la controparte si fosse attivata per farsi attribuire le indennità per lavoro ridotto a favore di F__________ __________, avrebbe dovuto versarle importi analoghi a quelli che aveva in realtà anticipato a F__________ __________ a titolo di indennità di disoccupazione, non toglie in effetti che quelle somme (corrisposte ipoteticamente o effettivamente) sarebbero state definitivamente acquisite dalla convenuta, senza cioè necessità di rifonderle allattrice, solo nel caso in cui essa avesse deciso di far capo allistituto del lavoro ridotto, il che presupponeva il mantenimento del contratto di lavoro con F__________ __________ e in particolare il rispetto degli obblighi contrattuali in esso previsti, condizioni da lei tuttavia non rispettate.</w:t>
      </w:r>
    </w:p>
    <w:p>
      <w:r>
        <w:t>11.Ne discende che lappello della convenuta devessere respinto.</w:t>
      </w:r>
    </w:p>
    <w:p>
      <w:r>
        <w:t>Le spese giudiziarie della procedura di secondo grado seguono la soccombenza (art. 106 cpv. 1 CPC). Sennonché, trattandosi di una controversia derivante da un rapporto di lavoro con un valore litigioso non superiore a fr. 30'000.-, alle parti non possono essere addossate spese processuali (art. 114 lett. c CPC). Ritenuto poiche lappellata, vincente, non ha qui fatto capo a un rappresentante professionale ma al proprio servizio giuridico (art. 95 cpv. 3 lett. b CPC; TF 5A_741/2018 del 18 gennaio 2019 consid. 9.3) e non ha motivato la sua domanda di unadeguata indennità dinconvenienza (art. 95 cpv. 3 lett. c CPC), nemmeno è possibile attribuirle eventuali ripetibili o indennità dinconvenienza, per altro nemmeno richieste.</w:t>
      </w:r>
    </w:p>
    <w:p>
      <w:r>
        <w:t>Per questi motivi,</w:t>
      </w:r>
    </w:p>
    <w:p>
      <w:r>
        <w:t>decide:</w:t>
      </w:r>
    </w:p>
    <w:p>
      <w:r>
        <w:t>I.Lappello 1° aprile 2022 di AP 1è respinto.</w:t>
      </w:r>
    </w:p>
    <w:p>
      <w:r>
        <w:t>II.Non si prelevano spese processuali. Non si assegnano ripetibili o indennità dinconvenienza.</w:t>
      </w:r>
    </w:p>
    <w:p>
      <w:r>
        <w:t>-</w:t>
      </w:r>
    </w:p>
    <w:p>
      <w:r>
        <w:t>-</w:t>
      </w:r>
    </w:p>
    <w:p>
      <w:r>
        <w:t>Per la seconda Camera civile del Tribunale dappello</w:t>
      </w:r>
    </w:p>
    <w:p>
      <w:r>
        <w:t>Il presidente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Nelle cause di carattere pecuniario in materia di diritto del lavoro con un valore litigioso di almeno fr. 15'000.- è dato ricorso in materia civile al Tribunale federale, 1000 Losanna 14, entro 30 giorni dalla notificazione del testo integrale della decisione (art. 74 cpv. 1 lett. a e 100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