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12.2022.177 vom 20. Februar 2023</w:t>
      </w:r>
    </w:p>
    <w:p>
      <w:r>
        <w:t>TI Tribunale d'appello, 2023-02-20, IT</w:t>
      </w:r>
    </w:p>
    <w:p>
      <w:r>
        <w:rPr>
          <w:b/>
        </w:rPr>
        <w:t xml:space="preserve">Quelle: </w:t>
      </w:r>
      <w:r>
        <w:t>https://mcp.opencaselaw.ch/entscheid/ti_gerichte_12.2022.177</w:t>
      </w:r>
    </w:p>
    <w:p>
      <w:r>
        <w:t>FR: TI_GERICHTE 12.2022.177 du 20 février 2023</w:t>
      </w:r>
    </w:p>
    <w:p>
      <w:r>
        <w:t>IT: TI_GERICHTE 12.2022.177 del 20 febbraio 2023</w:t>
      </w:r>
    </w:p>
    <w:p>
      <w:pPr>
        <w:pStyle w:val="Heading2"/>
      </w:pPr>
      <w:r>
        <w:t>Regeste</w:t>
      </w:r>
    </w:p>
    <w:p>
      <w:r>
        <w:t>Decisione di trasmissione alla CCR</w:t>
      </w:r>
    </w:p>
    <w:p>
      <w:pPr>
        <w:pStyle w:val="Heading2"/>
      </w:pPr>
      <w:r>
        <w:t>Erwägungen</w:t>
      </w:r>
    </w:p>
    <w:p>
      <w:r>
        <w:rPr>
          <w:b/>
        </w:rPr>
        <w:t>E. 20</w:t>
      </w:r>
    </w:p>
    <w:p>
      <w:r>
        <w:t>febbraio 2023 /jh In nome della Repubblica e Cantone Ticino La seconda Camera civile del Tribunale d'appello composta del giudice: Fiscalini, presidente, vicecancelliera: Bellotti sedente per statuire nella causa - inc. n. SE.2020.30 della Pretura del Distretto di Lugano, sezione 2 - promossa con petizione</w:t>
      </w:r>
    </w:p>
    <w:p>
      <w:r>
        <w:rPr>
          <w:b/>
        </w:rPr>
        <w:t>E. 21</w:t>
      </w:r>
    </w:p>
    <w:p>
      <w:r>
        <w:t>gennaio 2020 la RE 1 ha convenuto la CO 1 innanzi alla Pretura del Distretto di Lugano postulando la sua condanna al pagamento di € 7'488.60 oltre interessi del 5% dal 28 settembre 2018 a titolo di pagamento del prezzo della fornitura di 69 vetri per un cantiere a __________; che con osservazioni 13 marzo 2020 la parte convenuta si è opposta alla petizione, non contestando il credito della controparte bensì ponendolo in compensazione con un proprio credito di fr. 16'862.86 quale risarcimento del danno subito a causa della difettosità della fornitura destinata a un diverso cantiere, e facendo valere il residuo, pari a fr. 8'353.10 oltre interessi del 5% dal 14 dicembre 2018, in via riconvenzionale; che con decisione incidentale e ordinatoria 12 dicembre 2022 il Pretore aggiunto ha, da una parte, accertato la sussistenza dei presupposti per la pretesa di risarcimento danni di CO 1 e respinto l’eccezione di perenzione sollevata dalla RE 1, e dall’altra non ha ammesso la prova peritale richiesta da CO 1 sull’ammontare e sulla congruità delle poste di danno; che con reclamo 23 dicembre 2022 la RE 1 ha postulato la riforma della suddetta decisione nel senso di dichiarare non dati i presupposti per l'azione riconvenzionale di risarcimento; che in applicazione dell’art. 94 cpv. 1 CPC il valore litigioso della procedura, determinante ai fini dell’impugnabilità della decisione incidentale, ammonta a fr. 8'353.10 e non raggiunge pertanto la soglia di appellabilità di fr. 10'000.- (art. 308 cpv. 2 CPC; v. anche DTF 102 II 397 consid. 1a); che a giusta ragione la RE 1 ha quindi presentato un reclamo (art. 319 lett. a CPC), come peraltro correttamente indicato dal Pretore aggiunto in calce alla decisione impugnata; che per una svista la procedura di secondo grado è stata erroneamente rubricata all’inc. 12.2022.177 della seconda Camera civile del Tribunale d'appello (IICCA), sicché va trasmessa per competenza alla Camera civile dei reclami del Tribunale d’appello; che per la presente decisione non si prelevano spese processuali; che l’anticipo di fr. 1'000.-, erroneamente richiesto dalla IICCA, e nel frattempo versato dalla RE 1, sarà girato d’ufficio alla Camera civile dei reclami una volta formalmente aperta la procedura da parte di quest’ultima; che la presente decisione viene adottata da questa Camera nella composizione a giudice unico in applicazione dell’art. 48b cpv. 1 lett. b cifra 3 LOG. Per questi motivi, decide: 1. Il reclamo 23 dicembre 2022 della RE 1 è trasmesso per competenza alla Camera civile dei reclami. 2. Per la presente decisione non si prelevano spese processuali. L’anticipo già versato dalla RE 1 sarà registrato a favore del conto della Camera civile dei reclami come esposto nei considerandi. 3. Notificazione: - - Comunicazione alla Pretura del Distretto di Lugano, sezione 2 Per la seconda Camera civile del Tribunale d'appello Il presidente                                                          La vicecancelliera Rimedi giuridici Nelle cause a carattere pecuniario è dato ricorso in materia civile al Tribunale federale, 1000 Losanna 14, entro 30 giorni dalla notificazione del testo integrale della decisione (art. 100 cpv. 1 LTF), se il valore litigioso è superiore a fr. 30'000.-;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