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12.2022.119 vom 16. Februar 2023</w:t>
      </w:r>
    </w:p>
    <w:p>
      <w:r>
        <w:t>TI Tribunale d'appello, 2023-02-16, IT</w:t>
      </w:r>
    </w:p>
    <w:p>
      <w:r>
        <w:rPr>
          <w:b/>
        </w:rPr>
        <w:t xml:space="preserve">Quelle: </w:t>
      </w:r>
      <w:r>
        <w:t>https://mcp.opencaselaw.ch/entscheid/ti_gerichte_12.2022.119</w:t>
      </w:r>
    </w:p>
    <w:p>
      <w:r>
        <w:t>FR: TI_GERICHTE 12.2022.119 du 16 février 2023</w:t>
      </w:r>
    </w:p>
    <w:p>
      <w:r>
        <w:t>IT: TI_GERICHTE 12.2022.119 del 16 febbraio 2023</w:t>
      </w:r>
    </w:p>
    <w:p>
      <w:pPr>
        <w:pStyle w:val="Heading2"/>
      </w:pPr>
      <w:r>
        <w:t>Regeste</w:t>
      </w:r>
    </w:p>
    <w:p>
      <w:r>
        <w:t>Contratto di lavoro, rimborso dei costi di formazione pagati dalla datrice di lavoro; gratifica, ore suppletive, torto morale, spese pre-processuali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14 settembre 2022 di AP 1 è respinto nei limiti della sua ricevibilità.</w:t>
      </w:r>
    </w:p>
    <w:p>
      <w:r>
        <w:rPr>
          <w:b/>
        </w:rPr>
        <w:t>E. 2</w:t>
      </w:r>
    </w:p>
    <w:p>
      <w:r>
        <w:t>Le spese processuali della procedura d’appello fissate in fr. 8’000.- sono poste a carico dell’appellante. Quest’ultimo rifonderà all’appellata fr. 7’000.- a titolo di ripetibili di seconda sede.</w:t>
      </w:r>
    </w:p>
    <w:p>
      <w:r>
        <w:rPr>
          <w:b/>
        </w:rPr>
        <w:t>E. 3</w:t>
      </w:r>
    </w:p>
    <w:p>
      <w:r>
        <w:t>Notificazione: - - Comunicazione alla Pretura del Distretto di Lugano, sezione 1 Per la seconda Camera civile del Tribunale d’appello Il presidente                                                          La vicecancelliera Rimedi giuridici Nelle cause a carattere pecuniario in materia di contratto di lavoro con un valore litigioso superiore a fr. 15'000.-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