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12.2021.180 vom 10. November 2022</w:t>
      </w:r>
    </w:p>
    <w:p>
      <w:r>
        <w:t>TI Tribunale d'appello, 2022-11-10, IT</w:t>
      </w:r>
    </w:p>
    <w:p>
      <w:r>
        <w:rPr>
          <w:b/>
        </w:rPr>
        <w:t xml:space="preserve">Quelle: </w:t>
      </w:r>
      <w:r>
        <w:t>https://mcp.opencaselaw.ch/entscheid/ti_gerichte_12.2021.180</w:t>
      </w:r>
    </w:p>
    <w:p>
      <w:r>
        <w:t>FR: TI_GERICHTE 12.2021.180 du 10 novembre 2022</w:t>
      </w:r>
    </w:p>
    <w:p>
      <w:r>
        <w:t>IT: TI_GERICHTE 12.2021.180 del 10 novembre 2022</w:t>
      </w:r>
    </w:p>
    <w:p>
      <w:pPr>
        <w:pStyle w:val="Heading2"/>
      </w:pPr>
      <w:r>
        <w:t>Erwägungen</w:t>
      </w:r>
    </w:p>
    <w:p>
      <w:r>
        <w:rPr>
          <w:b/>
        </w:rPr>
        <w:t>E. 1</w:t>
      </w:r>
    </w:p>
    <w:p>
      <w:r>
        <w:t>CPC). Le spese processuali, fissate in applicazione degli art. 2, 7 e 13 LTG, ammontano a fr. 10000.-. Le ripetibili, calcolate sulla base dellart. 11 cpv. 1, cpv. 2 lett. a e cpv. 5 RTar, tenuto pure conto delle spese e dellIVA, sono pure quantificate in fr. 10000.-.</w:t>
      </w:r>
    </w:p>
    <w:p>
      <w:r>
        <w:t>Per questi motivi,</w:t>
      </w:r>
    </w:p>
    <w:p>
      <w:r>
        <w:t>richiamati lart. 106 CPC, la LTG e il RTar</w:t>
      </w:r>
    </w:p>
    <w:p>
      <w:r>
        <w:t>decide:</w:t>
      </w:r>
    </w:p>
    <w:p>
      <w:r>
        <w:t>1.Lappello 25 novembre 2021 di AP 1è respinto (nella misura della sua ricevibilità).</w:t>
      </w:r>
    </w:p>
    <w:p>
      <w:r>
        <w:t>2.Le spese processuali della procedura dappello, di fr. 10000.-, sono a carico dellappellante, che rifonderà alla contropartefr. 10000.- per ripetibili di seconda sede.</w:t>
      </w:r>
    </w:p>
    <w:p>
      <w:r>
        <w:t>3.Notificazione:</w:t>
      </w:r>
    </w:p>
    <w:p>
      <w:r>
        <w:t>-</w:t>
      </w:r>
    </w:p>
    <w:p>
      <w:r>
        <w:t>-</w:t>
      </w:r>
    </w:p>
    <w:p>
      <w:r>
        <w:t>Comunicazione alla Pretura del Distretto di Lugano, sezione 3</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4</w:t>
      </w:r>
    </w:p>
    <w:p>
      <w:r>
        <w:t>i.f.) e in ogni modo è ben poco credibile che per un’operazione di quella portata il venditore non si accerti della natura dei finanziamenti. Posto che la convenuta non disponeva di sufficiente capitale proprio (potendo oltretutto far capo solo a esigue entrate mensili) e che era chiaro sin dalla fase precontrattuale che il finanziatore era A__________ (v. anche decisione 8 maggio 2018 dell’Autorità di prima istanza LAFE di cui al doc. I e teste E__________, verbale del 3 maggio 2021, p. 2), la compravendita non ha potuto perfezionarsi proprio perché il coinvolgimento di questo terzo non era compatibile con la LAFE e tale circostanza ha fatto scattare le conseguenze dell’inefficacia e della nullità del negozio ai sensi dell’art. 26. Ne deriva che la convenuta non era affatto libera di portare a termine l’acquisto (v. appello p. 8 pt. 8), non potendosi da lei pretendere l’attuazione di un contratto illecito o la ricerca di ulteriori espedienti volti ad aggirare la suddetta legge (come vorrebbe l’appellante con il suo gravame), con la conseguenza che una pena convenzionale non potrebbe in ogni caso reggersi su queste basi, ostandovi l’art. 163 cpv. 2 (prima frase) CO. 10. In conclusione, le argomentazioni contenute nell’appello non permettono di sovvertire la decisione di prima sede. Non potendo AP 1 avvalersi della clausola in questione per tutti i motivi suddetti, non è qui necessario esaminare altre tematiche da lui accennate, come l’errore o il suo rinvio all’art. 156 CO (che peraltro, essendo privo di motivazione, non costituisce una valida censura d’appello). 11. Visto quanto sopra, l’appello dev’essere respinto (nella misura della sua ricevibilità), con conseguente conferma della decisione impugnata. Le spese giudiziarie di seconda sede, calcolate sulla base di un valore litigioso di fr. 300'000.- (determinante anche per un eventuale ricorso al Tribunale federale) , seguono la soccombenza dell’appellante (art. 106 cpv. 1 CPC). Le spese processuali, fissate in applicazione degli art. 2, 7 e 13 LTG, ammontano a fr. 10’000.-. Le ripetibili, calcolate sulla base dell’art. 11 cpv. 1, cpv. 2 lett. a e cpv. 5 RTar, tenuto pure conto delle spese e dell’IVA, sono pure quantificate in fr. 10’000.-. Per questi motivi, richiamati l’art. 106 CPC, la LTG e il RTar decide: 1. L’appello 25 novembre 2021 di AP 1 è respinto (nella misura della sua ricevibilità). 2. Le spese processuali della procedura d’appello, di fr. 10’000.-, sono a carico dell’appellante, che rifonderà alla controparte fr. 10’000.- per ripetibili di seconda sede. 3. Notificazione: - - Comunicazione alla Pretura del Distretto di Lugano, sezione 3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