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12.2021.17 vom 28. Oktober 2021</w:t>
      </w:r>
    </w:p>
    <w:p>
      <w:r>
        <w:t>TI Tribunale d'appello, 2021-10-28, IT</w:t>
      </w:r>
    </w:p>
    <w:p>
      <w:r>
        <w:rPr>
          <w:b/>
        </w:rPr>
        <w:t xml:space="preserve">Quelle: </w:t>
      </w:r>
      <w:r>
        <w:t>https://mcp.opencaselaw.ch/entscheid/ti_gerichte_12.2021.17</w:t>
      </w:r>
    </w:p>
    <w:p>
      <w:r>
        <w:t>FR: TI_GERICHTE 12.2021.17 du 28 octobre 2021</w:t>
      </w:r>
    </w:p>
    <w:p>
      <w:r>
        <w:t>IT: TI_GERICHTE 12.2021.17 del 28 ottobre 2021</w:t>
      </w:r>
    </w:p>
    <w:p>
      <w:pPr>
        <w:pStyle w:val="Heading2"/>
      </w:pPr>
      <w:r>
        <w:t>Volltext</w:t>
      </w:r>
    </w:p>
    <w:p>
      <w:r>
        <w:t>Incarto n.12.2021.17</w:t>
      </w:r>
    </w:p>
    <w:p>
      <w:r>
        <w:t>Lugano</w:t>
      </w:r>
    </w:p>
    <w:p>
      <w:r>
        <w:t>28 ottobre 2021/jh</w:t>
      </w:r>
    </w:p>
    <w:p>
      <w:r>
        <w:t>In nomedella Repubblica e CantoneTicino</w:t>
      </w:r>
    </w:p>
    <w:p>
      <w:r>
        <w:t>La seconda Camera civile del Tribunale d'appello</w:t>
      </w:r>
    </w:p>
    <w:p>
      <w:r>
        <w:t>composta dei giudici:</w:t>
      </w:r>
    </w:p>
    <w:p>
      <w:r>
        <w:t>Fiscalini, presidente,</w:t>
      </w:r>
    </w:p>
    <w:p>
      <w:r>
        <w:t>Bozzini e Stefani</w:t>
      </w:r>
    </w:p>
    <w:p>
      <w:r>
        <w:t>vicecancelliera:</w:t>
      </w:r>
    </w:p>
    <w:p>
      <w:r>
        <w:t>Federspiel Peer</w:t>
      </w:r>
    </w:p>
    <w:p>
      <w:r>
        <w:t>sedente per statuire nella causa - inc. n. OR.2015.46 della Pretura del Distretto di Lugano, sezione 2 - promossa con petizione del 9 marzo 2015 da</w:t>
      </w:r>
    </w:p>
    <w:p>
      <w:r>
        <w:t>AO 1</w:t>
      </w:r>
    </w:p>
    <w:p>
      <w:r>
        <w:t>contro</w:t>
      </w:r>
    </w:p>
    <w:p>
      <w:r>
        <w:t>AP 1</w:t>
      </w:r>
    </w:p>
    <w:p>
      <w:r>
        <w:t>Nel corso del mese di luglio 2011 AO 1 ha restituito alla controparte 1522 estintori modello mangiafuoco 8B e 225 estintori modello mangiafuoco 13B, fatturandole limporto difr. 79'601. a titolo di rimborso degli estintori ritenuti difettosi (doc. 3); questa fattura è stata contestata ed è rimasta non pagata (doc. 4, 5 e 6).</w:t>
      </w:r>
    </w:p>
    <w:p>
      <w:r>
        <w:t>Il 4 giugno 2012 G__________ R__________, amministratore di AP 1, ha redatto e trasmesso a AO 1, per esame e sottoscrizione, un accordo dal seguente tenore:</w:t>
      </w:r>
    </w:p>
    <w:p>
      <w:r>
        <w:t>contratto</w:t>
      </w:r>
    </w:p>
    <w:p>
      <w:r>
        <w:t>Egregio Sig. AO 1,</w:t>
      </w:r>
    </w:p>
    <w:p>
      <w:r>
        <w:t>in riferimento alle sue precedenti richieste del 27.07.2011 alla lettera del Ns avvocato del 28.09.2011 ed alle riunioni intercorse tre lei, il sig. R__________ ed i responsabili delle rispettive aziende sig. B__________ U__________ per E__________ ed E__________ T__________ per __________ Srl __________, con la presente lei ci conferma che a ricevimento di quanto pattuito, ossia 74'500. pagabili in 4 rate entro il 15 di ogni mese dai quali verranno dedotti acconti da lei ricevuti, si riterrà tacitato da ogni pretesa nei confronti di AP 1 __________.</w:t>
      </w:r>
    </w:p>
    <w:p>
      <w:r>
        <w:t>Il pagamento avrà inizio nel momento in cui sparirà da internet ogni documentazione commento od altro nei confronti della Società AP 1 del sig. R__________ della Società E__________ e della società E__________ in merito al prodotto mangiafuoco inserito tramite il suo collaboratore A__________ L__________.</w:t>
      </w:r>
    </w:p>
    <w:p>
      <w:r>
        <w:t>Qualora dovessero apparire in seguito altri commenti la riterremo personalmente responsabile per il suo collaboratore o di chi per esso ed agiremo nei suoi confronti per un importo di CHF 100'000..</w:t>
      </w:r>
    </w:p>
    <w:p>
      <w:r>
        <w:t>Ci riserviamo di effettuare una denuncia presso le competenti autorità nei confronti del suo collaboratore L__________.</w:t>
      </w:r>
    </w:p>
    <w:p>
      <w:r>
        <w:t>Inoltre le ribadiamo che non abbiamo nessun rapporto di collaborazione con il Sig. L__________ ed a lui nulla dobbiamo.</w:t>
      </w:r>
    </w:p>
    <w:p>
      <w:r>
        <w:t>Cordiali saluti(doc. 11).</w:t>
      </w:r>
    </w:p>
    <w:p>
      <w:r>
        <w:t>AO 1 ha ritornato alla controparte copia dello scritto controfirmato cancellando però dallo stesso lindicazione della società E__________ e della società E__________ in merito al prodotto mangiafuoco inserito tramite il e apponendo laggiunta secondo cui Diese Unterschrift ist nur gültig wenn ich am 5.6.2012 20000. Sfr. auf dem Konto __________ habe (doc. D / 12).</w:t>
      </w:r>
    </w:p>
    <w:p>
      <w:r>
        <w:t>AP 1 non ha sollevato alcuna obbiezione a queste modifiche e anzi ha provveduto a versare a AO 1 complessivi fr. 33'000.- e più precisamentefr. 20'000.- in data 5 giugno 2012 (doc. E), fr. 10000.- il 27 luglio 2012 (doc. F) e in data imprecisata ulteriori fr. 3'000.- (doc. G); i pagamenti sono poi stati interrotti.</w:t>
      </w:r>
    </w:p>
    <w:p>
      <w:r>
        <w:t>Nel corso dei mesi seguenti sono (nuovamente) comparsi in internet dei commenti negativi nei confronti di AP 1 come pure dei suoi produttori e fornitori, __________ (doc. 13).</w:t>
      </w:r>
    </w:p>
    <w:p>
      <w:r>
        <w:t>AO 1 ha sollecitato a più riprese il pagamento di quanto - a suo dire - spettantegli secondo laccordo di cui ai doc. 11 e D / 12; senza successo. In data 17 ottobre 2013 egli ha quindi fatto spiccare nei confronti di AP 1 ilPE. __________ dellUE di Lugano contro cui lescussa ha interposto opposizione.</w:t>
      </w:r>
    </w:p>
    <w:p>
      <w:r>
        <w:t>In replica, AO 1 si è riconfermato nella propria richiesta e ha ribadito che la merce era tanto difettosa da giustificare appieno la risoluzione del contratto, manifestato mediante la riconsegna della stessa. Egli si è opposto a qualsiasi contropretesa della convenuta e ha sostenuto che questa aveva accettato il contratto in piena libertà, esente da qualsivoglia forma di coercizione o timore. Accettazione che era comprovata dal fatto che essa lo aveva ossequiato procedendo ai primi versamenti.</w:t>
      </w:r>
    </w:p>
    <w:p>
      <w:r>
        <w:t>In duplica la convenuta ha ribadito la propria posizione.</w:t>
      </w:r>
    </w:p>
    <w:p>
      <w:r>
        <w:t>Esperita listruttoria, i contendenti hanno rinunciato alla discussione finale presentando dei memoriali conclusivi scritti in cui hanno ribadito le rispettive antitetiche posizioni.</w:t>
      </w:r>
    </w:p>
    <w:p>
      <w:r>
        <w:t>7.1.Il Pretore ha già illustrato i principi dottrinali e giurisprudenziali applicabili alla problematica. In questa sede si rivela nondimeno utile ricordare che ai sensi dellart. 1 CO un contratto è perfezionato quando le parti contraenti hanno manifestato, reciprocamente e in maniera concordante, la loro volontà. In altre parole, un contratto è validamente concluso dal momento in cui le manifestazioni di volontà delle parti sono concordanti. Esse devono inoltre essersi accordate su tutti i punti essenziali del negozio giuridico. Quando la dichiarazione di accettazione del contratto si differenzia per i contenuti dallofferta (in uno o più punti essenziali), essa non costituisce accettazione ai sensi di legge bensì è da intendere quale controfferta. Questa soggiace alle stesse regole dellofferta nel senso che la parte destinataria deve manifestare la sua volontà di accettare la controfferta (cfr.Gauch/ Schluep/ Schmid,Schweizerisches Obligationenrecht AT I, 11ªed., n. 441 con riferimenti;Tercier/ Pichonnaz,Le droit des obligations, 5ªed., n. 604 e 624;Morin in:Commentaire Romand, CO I, 2ªed., n. 88 con rinvii).</w:t>
      </w:r>
    </w:p>
    <w:p>
      <w:r>
        <w:t>Laccettazione può avvenire in forma espressa o tacita (art. 1 cpv. 2 CO), ritenuto che unaccettazione tacita o per atti concludenti è data, segnatamente, quando la parte destinataria dellofferta esegue in parte o del tutto il contratto (Realakzept;Gauch/ Schluep/ Schmid, op. cit., n. 447).</w:t>
      </w:r>
    </w:p>
    <w:p>
      <w:r>
        <w:t>7.2.Per quanto attiene alla fattispecie in esame è pacifico che AO 1 ha apportato delle modifiche alla proposta di accordo di data 4 giugno 2012 (doc. 11) trasmessagli dallamministratore di AP 1; nello specifico lattore ha stralciato i riferimenti alle società __________ ed __________ e ha imposto il pagamento di un primo acconto - da lui quantificato in fr. 20'000.- - entro il 5 giugno 2012 - ovvero già il giorno successivo allinvio della sua controproposta e ben 10 giorni prima di quanto previsto nel testo originale (per i dettagli si rinvia ai doc. 11 e doc. D / 12). Sono queste rettifiche che vanno a toccare aspetti essenziali del contratto e che necessitano pertanto delladesione della controparte affinché la pattuizione possa essere ritenuta validamente conclusa.</w:t>
      </w:r>
    </w:p>
    <w:p>
      <w:r>
        <w:t>Poiché, nel concreto caso, è stato accertato che AP 1 non ha mai manifestato espressamente il suo accordo ai nuovi termini contrattuali, è necessario verificare se essa lo abbia fatto tacitamente, tesi sostenuta dallattore e seguita dal Pretore nel giudizio qui impugnato.</w:t>
      </w:r>
    </w:p>
    <w:p>
      <w:r>
        <w:t>Dallincarto emerge che sebbene lappellante non abbia mai esplicitamente aderito alla controproposta sottopostale da AO 1 essa non ha neppure mai sollevato contestazioni o riserve al riguardo. Anzi, essa si è affrettata a effettuare già il giorno successivo alla ricezione della medesima il pagamento dellimporto di fr. 20000.- (doc. 2 e E), così come richiesto dallattore, circostanza che già da sola può essere ragionevolmente interpretata quale espressione di unaccettazione per atti concludenti dellaccordo. A questo va altresì aggiunto che successivamente AP 1 ha effettuato ulteriori due versamenti (doc. F e G) a favore di AO 1 senza formulare alcuna riserva o obbiezione. Tutti elementi che suffragano ulteriormente la tesi dellaccettazione tacita.</w:t>
      </w:r>
    </w:p>
    <w:p>
      <w:r>
        <w:t>Venire ora a sostenere che AP 1 non si sentiva vincolata dal contratto e che questi versamenti erano semplici atti unilaterali effettuati su base volontaria (appello, pag. 17) non è credibile.</w:t>
      </w:r>
    </w:p>
    <w:p>
      <w:r>
        <w:t>Ad ogni buon conto, in base al principio dellaffidamento, lappellante deve lasciarsi imputare il proprio comportamento - che nello specifico può oggettivamente essere inteso quale manifestazione di adesione alla pattuizione - e questo anche nel caso in cui - ipotesi qui rigettata - lo stessonon avesse corrisposto alla sua intima volontà.</w:t>
      </w:r>
    </w:p>
    <w:p>
      <w:r>
        <w:t>Palesemente pretestuosa è lallegazione appellatoria secondo cui la valuta di pagamento non sarebbe stata rispettata in quanto limporto di fr. 20'000.- sarebbe giunto sul conto del destinatario con un giorno di ritardo. Come emerge chiaramente dai documenti agli atti il versamento è infatti stato effettuato nel termine impartito ed è pure stato contabilizzato dalla società in data 5 giugno 2012 (doc. 2) esattamente come richiesto dal contratto (doc. D / 12).</w:t>
      </w:r>
    </w:p>
    <w:p>
      <w:r>
        <w:t>Priva di fondamento si rivela inoltre la tesi appellatoria secondo cui unaccettazione per atti concludenti della modifica contrattuale proposta da AO 1 non potrebbe entrare in linea di conto in quanto AP 1 avrebbe posto quale condizione di validità dellaccordo la forma scritta (appello, pag. 16). In primis, di questo asserito requisito imposto dallappellante non vi è traccia nellincarto, il semplice fatto di aver trasmesso la proposta di accordo alla controparte per iscritto non è ancora sufficiente per presumere la scelta di questa specifica forma pena la non obbligatorietà dellatto.</w:t>
      </w:r>
    </w:p>
    <w:p>
      <w:r>
        <w:t>A questo vada inoltre aggiunto che il fatto di invocare un vizio di forma dopo aver adempiuto - perlomeno nei suoi punti essenziali e in piena consapevolezza dellesistenza dellasserito vizio - al contratto - e questo con lunico e chiaro intento di liberarsi dal vincolo giuridico creato dallo stesso - costituisce un manifesto abuso di diritto che non può venir tutelato da questa Camera.</w:t>
      </w:r>
    </w:p>
    <w:p>
      <w:r>
        <w:t>A fronte di tutto quanto sin qui evidenziato, la circostanza - menzionata dallappellante - che il secondo e il terzo versamento sono stati effettuati senza rispettare né gli importi né le scadenze non è tale da inficiare la tesi attorea.</w:t>
      </w:r>
    </w:p>
    <w:p>
      <w:r>
        <w:t>Così stando le cose è pertanto a giusto titolo che il Pretore ha accertato ladesione - per atti concludenti - di AP 1 alla controproposta di AO 1 e la conseguente venuta in essere tra le parti dellaccordo di cui al doc. D / 12.</w:t>
      </w:r>
    </w:p>
    <w:p>
      <w:r>
        <w:t>Per questi motivi</w:t>
      </w:r>
    </w:p>
    <w:p>
      <w:r>
        <w:t>richiamati gli art. 96 e 106 CPC e la LTG,</w:t>
      </w:r>
    </w:p>
    <w:p>
      <w:r>
        <w:t>decide:                      1.Lappello 2 febbraio 2021 di AP 1è respinto.</w:t>
      </w:r>
    </w:p>
    <w:p>
      <w:r>
        <w:t>2.Le spese processuali dappello di complessivi fr. 3'500.-, sono poste a carico di AP 1. Lappellante rifonderà alla controparte fr. 4'000.- per ripetibili di appello.</w:t>
      </w:r>
    </w:p>
    <w:p>
      <w:r>
        <w:t>-</w:t>
      </w:r>
    </w:p>
    <w:p>
      <w:r>
        <w:t>-</w:t>
      </w:r>
    </w:p>
    <w:p>
      <w:r>
        <w:t>Per la seconda Camera civile del Tribunale dappello</w:t>
      </w:r>
    </w:p>
    <w:p>
      <w:r>
        <w:t>Il presidente                                                          La vicecancelliera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