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12.2020.94 vom 5. August 2021</w:t>
      </w:r>
    </w:p>
    <w:p>
      <w:r>
        <w:t>TI Tribunale d'appello, 2021-08-05, IT</w:t>
      </w:r>
    </w:p>
    <w:p>
      <w:r>
        <w:rPr>
          <w:b/>
        </w:rPr>
        <w:t xml:space="preserve">Quelle: </w:t>
      </w:r>
      <w:r>
        <w:t>https://mcp.opencaselaw.ch/entscheid/ti_gerichte_12.2020.94</w:t>
      </w:r>
    </w:p>
    <w:p>
      <w:r>
        <w:t>FR: TI_GERICHTE 12.2020.94 du 5 août 2021</w:t>
      </w:r>
    </w:p>
    <w:p>
      <w:r>
        <w:t>IT: TI_GERICHTE 12.2020.94 del 5 agosto 2021</w:t>
      </w:r>
    </w:p>
    <w:p>
      <w:pPr>
        <w:pStyle w:val="Heading2"/>
      </w:pPr>
      <w:r>
        <w:t>Regeste</w:t>
      </w:r>
    </w:p>
    <w:p>
      <w:r>
        <w:t>Esistenza di un conbtratto di mandato</w:t>
      </w:r>
    </w:p>
    <w:p>
      <w:pPr>
        <w:pStyle w:val="Heading2"/>
      </w:pPr>
      <w:r>
        <w:t>Erwägungen</w:t>
      </w:r>
    </w:p>
    <w:p>
      <w:r>
        <w:rPr>
          <w:b/>
        </w:rPr>
        <w:t>E. 6</w:t>
      </w:r>
    </w:p>
    <w:p>
      <w:r>
        <w:t>Sulla scorta di quanto precede, dunque, a prescindere dalla loro ricevibilità, l’appello non è stato in grado di fornire elementi tali per intaccare le conclusioni pretorili e sovvertire la sentenza di primo grado. Di conseguenza è confermata l’assenza di prove del pagamento delle fatture relative alle modifiche in base a un contratto di mandato concluso dalle parti e, di riflesso - rilevato anche che la mancata applicabilità delle norme sulla surrogazione sancita dal Pretore aggiunto (sentenza impugnata consid. 6 pag. 7) non è stata oggetto di critica – deve essere confermata pure la reiezione della petizione. Stante ciò non risulta necessario chinarsi sulle critiche mosse dall’appellante al primo giudice per non aver ritenuto non essere stati rettamente contestati dal convenuto e, soprattutto, non sufficientemente da lei corroborati gli importi esposti nella petizione per le opere supplementari (sentenza impugnata consid. 5 e in particolare 5.3, pag. 7).</w:t>
      </w:r>
    </w:p>
    <w:p>
      <w:r>
        <w:rPr>
          <w:b/>
        </w:rPr>
        <w:t>E. 7</w:t>
      </w:r>
    </w:p>
    <w:p>
      <w:r>
        <w:t>Ne discende che l’appello deve essere respinto, nei limiti della sua ricevibilità. Le spese processuali e le ripetibili di questo giudizio, calcolate sulla base di un valore litigioso di fr. 407'854.-, determinante anche per un eventuale ricorso al Tribunale federale, seguono la soccombenza (art. 106 cpv. 1 CPC). Le spese processuali sono calcolate con riferimento alla tariffa di cui all’art. 13 LTG. Per il calcolo delle ripetibili fa stato l’art. 11 RTar. Per questi motivi, richiamati l’art. 106 CPC, la LTG e il RTar, decide: 1. L’appello 17 agosto 2020 di AP 1 è respinto nella misura in cui è ricevibile . 2. Le spese processuali di fr. 15’000.- sono poste a carico dell’appellante. Essa rifonderà inoltre fr. 6’000.- a AO 1 a titolo di ripetibili. 3. Notificazione: -      ; -      . Comunicazione alla Pretura della giurisdizione di Locarno-Città.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