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12.2020.46 vom 27. Januar 2021</w:t>
      </w:r>
    </w:p>
    <w:p>
      <w:r>
        <w:t>TI Tribunale d'appello, 2021-01-27, IT</w:t>
      </w:r>
    </w:p>
    <w:p>
      <w:r>
        <w:rPr>
          <w:b/>
        </w:rPr>
        <w:t xml:space="preserve">Quelle: </w:t>
      </w:r>
      <w:r>
        <w:t>https://mcp.opencaselaw.ch/entscheid/ti_gerichte_12.2020.46</w:t>
      </w:r>
    </w:p>
    <w:p>
      <w:r>
        <w:t>FR: TI_GERICHTE 12.2020.46 du 27 janvier 2021</w:t>
      </w:r>
    </w:p>
    <w:p>
      <w:r>
        <w:t>IT: TI_GERICHTE 12.2020.46 del 27 gennaio 2021</w:t>
      </w:r>
    </w:p>
    <w:p>
      <w:pPr>
        <w:pStyle w:val="Heading2"/>
      </w:pPr>
      <w:r>
        <w:t>Erwägungen</w:t>
      </w:r>
    </w:p>
    <w:p>
      <w:r>
        <w:rPr>
          <w:b/>
        </w:rPr>
        <w:t>E. 4</w:t>
      </w:r>
    </w:p>
    <w:p>
      <w:r>
        <w:t>Con reclamo 20 aprile 2020 AP 1 ha postulato la riforma della decisione 5 marzo 2020 n el senso di respingere integralmente la petizione o, in via sussidiaria, di accoglierla parzialmente condannandolo a pagare a AO 1 l’importo di fr. 7'093.93 oltre interessi al 5% dal 20 febbraio 2020, nonché di accogliere la domanda riconvenzionale e condannare AO 1 a versargli fr. 11'431.68 lordi oltre interessi al 5% dal 1° maggio 2018, il tutto con protesta di spese e ripetibili di entrambe le sedi . Con risposta 27 maggio 2020 la convenuta ha chiesto la reiezione dell’impugnativa, pure con protesta di spese e ripetibili.</w:t>
      </w:r>
    </w:p>
    <w:p>
      <w:r>
        <w:rPr>
          <w:b/>
        </w:rPr>
        <w:t>E. 5</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A fronte della sospensione del termine d’impugnazione dal 21 marzo 2020 al 19 aprile 2020 in virtù dell’Ordinanza sulla sospensione dei termini nei procedimenti civili e amministrativi ai fini del mantenimento della giustizia in relazione al coronavirus (COVID-19) del 20 marzo 2020, il rimedio inoltrato il 20 aprile 2020 nei confronti della sentenza del 5 marzo 2020 deve essere considerato tempestivo.</w:t>
      </w:r>
    </w:p>
    <w:p>
      <w:r>
        <w:rPr>
          <w:b/>
        </w:rPr>
        <w:t>E. 6</w:t>
      </w:r>
    </w:p>
    <w:p>
      <w:r>
        <w:t>Il codice di procedura civile federale prevede due principali vie di ricorso devolutive: l’appello e il reclamo. Il primo mezzo d’impugnazione ha natura ordinaria e ha per oggetto la lite in quanto tale, sicché la decisione impugnata non assume forza esecutiva (effetto sospensivo, art. 315 CPC), è possibile procedere a un completo riesame nel merito sia in fatto che in diritto (art. 310 CPC), la presa in considerazione di nova non è esclusa (art. 317 CPC) ed è possibile una riforma del giudizio contestato. Il reclamo, per contro, rappresenta un mezzo d’impugnazione straordinario che mira unicamente al controllo della decisione di primo grado, della quale non impedisce né il passaggio in giudicato, né, di principio, l’esecuzione, essendo la concessione dell’effetto sospensivo possibile solo in casi straordinari (art. 325 CPC). Esso consente un esame limitato del giudizio (art. 320 CPC), non lascia spazio ai nova e ha natura fondamentalmente cassatoria, fatta eccezione per le situazioni in cui la causa è matura per il giudizio (art. 327 cpv. 3 lett. b). La scelta tra questi due rimedi giuridici, che si escludono a vicenda, dipende unicamente dalla natura della sentenza impugnata o dal valore della controversia (art. 308, 309 e 319 CPC), non dalla volontà delle parti, né dal tipo di procedimento, né dalle obiezioni sollevate (STF 5A_46/2020 del 17 novembre 2020 consid. 4.4). La sistematica del CPC induce a concludere che l’appello sia la via di ricorso prioritaria, mentre il reclamo debba entrare in linea di conto solo nella misura in cui la decisione contestata non sia contemplata tra i casi previsti dall’art. 308 CPC.</w:t>
      </w:r>
    </w:p>
    <w:p>
      <w:r>
        <w:rPr>
          <w:b/>
        </w:rPr>
        <w:t>E. 7</w:t>
      </w:r>
    </w:p>
    <w:p>
      <w:r>
        <w:t>Qualora un ricorrente scelga erroneamente un mezzo d’impugnazione al posto di un altro, il ricorso deve essere considerato irricevibile. Tuttavia, solo in determinate circostanze (ad es. per una manifesta inavvertenza), in applicazione del divieto di eccessivo formalismo (art. 29 cpv. 1 Cst.), è possibile procedere a una conversione. In tale evenienza il tribunale adito tratta il ricorso inammissibile come ricorso di un altro tipo, se ne soddisfa le condizioni. La conversione è tuttavia esclusa nel caso in cui l’avvocato sceglie coscientemente una via di ricorso che non poteva ignorare essere errata (per quanto precede v. STF 5A_221/2018, 4 giugno 2018, consid. 3.3.1). Secondo questa Camera i principi che precedono sono validi per tutti coloro che sono autorizzati a esercitare la rappresentanza professionale in giudizio (v. art. 68 cpv. 2 CPC) e quindi non solo per gli avvocati.</w:t>
      </w:r>
    </w:p>
    <w:p>
      <w:r>
        <w:rPr>
          <w:b/>
        </w:rPr>
        <w:t>E. 8</w:t>
      </w:r>
    </w:p>
    <w:p>
      <w:r>
        <w:t>In concreto AP 1, rappresentato da un’organizzazione sindacale, a fronte di un giudizio pacificamente appellabile come correttamente precisato al punto 6 del dispositivo, ha introdotto alla Camera civile dei reclami del Tribunale d’appello un rimedio intitolato Reclamo, ha chiesto che il medesimo venga accolto (in via principale nel senso di respingere la petizione, che era stata accolta per un importo di fr. 10'064.-, nonché di accogliere la sua domanda riconvenzionale condannando la controparte a versargli fr. 11'431.68). L’atto di ricorso indica altresì che il termine di reclamo è ossequiato, richiama espressamente l’art. 320 CPC (motivi di reclamo) e designa a più riprese l’insorgente quale reclamante. Visto quanto precede non vi è dubbio che l’organizzazione sindacale, cui compete la rappresentanza professionale in giudizio (v. art. 68 cpv. 2 lett. d CPC, 12 cpv. 1 lett. b LACPC, per quest’ultima v. RL 270.000) ha coscientemente introdotto un rimedio di diritto che, con la dovuta diligenza, non poteva ignorare essere errato e che pertanto dev’essere dichiarato irricevibile in base a quanto esposto al considerando che precede.</w:t>
      </w:r>
    </w:p>
    <w:p>
      <w:r>
        <w:rPr>
          <w:b/>
        </w:rPr>
        <w:t>E. 9</w:t>
      </w:r>
    </w:p>
    <w:p>
      <w:r>
        <w:t>A titolo abbondanziale va osservato che il gravame sarebbe irricevibile anche per carente motivazione (art. 311 CPC), essendosi il ricorrente limitato a opporre una propria versione dei fatti a quella del Pretore, omettendo di confrontarsi puntualmente con le motivazioni contenute nella sentenza di primo grado.</w:t>
      </w:r>
    </w:p>
    <w:p>
      <w:r>
        <w:rPr>
          <w:b/>
        </w:rPr>
        <w:t>E. 10</w:t>
      </w:r>
    </w:p>
    <w:p>
      <w:r>
        <w:t>T rattandosi di una causa derivante da un rapporto di lavoro con un valore litigioso inferiore a fr. 30 '000.- (art. 114 lett. c CPC), non si prelevano spese processuali. Le ripetibili, quantificate in fr. 500.-, seguono la soccombenza. Il valore litigioso ai fini di un’eventuale impugnazione dinanzi al Tribunale federale non supera la soglia di fr. 15'000.- prevista dall’art. 74 cpv. 1 lett. a LTF (v. anche art. 53 LTF). Per questi motivi, richiamati l’art. 106 CPC e il RTar, decide: 1. Il reclamo 20 aprile 2020 di AP 1 è irricevibile . 2. Non si prelevano spese processuali. Il reclamante è condannato a versare alla controparte fr. 500.- a titolo di ripetibili. 3. Notificazione: - ; - . Comunicazione alla Pretura del Distretto di Lugano, sezione 1 Per la seconda Camera civile del Tribunale d’appello Il presidente                                                          La vicecancelliera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