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12.2019.98 vom 15. Dezember 2020</w:t>
      </w:r>
    </w:p>
    <w:p>
      <w:r>
        <w:t>TI Tribunale d'appello, 2020-12-15, IT</w:t>
      </w:r>
    </w:p>
    <w:p>
      <w:r>
        <w:rPr>
          <w:b/>
        </w:rPr>
        <w:t xml:space="preserve">Quelle: </w:t>
      </w:r>
      <w:r>
        <w:t>https://mcp.opencaselaw.ch/entscheid/ti_gerichte_12.2019.98</w:t>
      </w:r>
    </w:p>
    <w:p>
      <w:r>
        <w:t>FR: TI_GERICHTE 12.2019.98 du 15 décembre 2020</w:t>
      </w:r>
    </w:p>
    <w:p>
      <w:r>
        <w:t>IT: TI_GERICHTE 12.2019.98 del 15 dicembre 2020</w:t>
      </w:r>
    </w:p>
    <w:p>
      <w:pPr>
        <w:pStyle w:val="Heading2"/>
      </w:pPr>
      <w:r>
        <w:t>Erwägungen</w:t>
      </w:r>
    </w:p>
    <w:p>
      <w:r>
        <w:rPr>
          <w:b/>
        </w:rPr>
        <w:t>E. 15</w:t>
      </w:r>
    </w:p>
    <w:p>
      <w:r>
        <w:t>In definitiva, l’appello 7 giugno 2019 di AP 1 è parzialmente accolto ai sensi dei considerandi, nei limiti della sua ricevibilità. Pertanto la sentenza 7 maggio 2019 della Pretura di Lugano deve essere riformata nel senso che il dispositivo n. 6 è così modificato: “L’attrice è autorizzata a far pubblicare, a spese della convenuta, sui quotidiani N__________, T__________ e C__________ una volta entro due mesi dalla sua crescita in giudicato, nelle pagine delle rubriche economiche e con una grandezza di ¼ di pagina, l’intestazione e i dispositivi n. II.1. II.2 e II.3 della presente sentenza come da indicazioni contenute nei considerandi”. In questa sede si impone pure di rettificare il dispositivo n. 1 (art. 334 CPC), inserendo il riferimento all’accoglimento parziale dell’istanza 10 giugno 2008, istanza che il Pretore ha dimenticato di citare. Questo comporta che il dispositivo venga nel suo complesso leggermente modificato e completato in modo tale da renderlo lineare, senza che i contenuti confermati vengano toccati. Le spese giudiziarie di seconda sede seguono la soccombenza dell’appellante (art. 106 cpv. 1 CPC), e sono calcolate sulla base di un valore litigioso di Euro 6'000'000.-, (pari a fr. 6'480'000.- al cambio medio di 1.08 EUR/CHF), determinante anche per un eventuale ricorso al Tribunale federale. Le spese processuali, calcolate in base agli art. 2, 7 e 13 LTG, ammontano a fr. 65’000.-. Le ripetibili sono quantificate in fr. 80'000.- come da decisione 16 settembre 2019 del presidente di questa Camera. Quest’ultimo importo, già corrisposto dall’appellante a titolo di cauzione per le ripetibili a seguito di tale decisione, sarà riversato all’appellata ad avvenuta crescita in giudicato di questa sentenza. Per questi motivi, richiamati l’art. 106 CPC, la LTG e il RTar decide: 1. L’appello 7 giugno 2019 di AP 1 è parzialmente accolto, nella misura in cui è ricevibile. § Di conseguenza la sentenza 7 maggio 2019 della Pretura del Distretto di Lugano, sezione 1, è così riformata: “ I.     La petizione 10 giugno 2008 è integralmente accolta. Di conseguenza: 1.     È accertato che l'attrice non viola alcun obbligo contrattuale nei confronti della convenuta, offrendo nell'ambito della propria attività (ivi compresa l'attività in collaborazione con portali di comparazione o partner di co-branding) la possibilità agli utenti di acquistare biglietti aerei della convenuta operando dai portali internet dell'attrice. 2.     È accertato che la possibilità offerta dall'attrice agli utenti nell'ambito della sua attività (ivi compresa l'attività in collaborazione con portali di comparazione o partner di co-branding) di acquistare i biglietti aerei della convenuta operando dai portali internet dell'attrice, non viola alcun diritto sui generis di tutela nelle banche dati della convenuta come previsto dalla Direttiva Comunitaria n. 96/9/CE. II.     L’istanza 10 giugno 2008 è parzialmente accolta. Di conseguenza: 1. È accertato che la possibilità offerta dall'attrice nell'ambito della sua attività (ivi compresa l'attività in collaborazione con portali di comparazione o partner in co-branding) agli utenti di acquistare i biglietti aerei della convenuta operando dai portali internet dell'attrice, non viola la LCSl e, in particolare gli art. 2 e 5 lett. c) LCSl. 2.     È accertato che la convenuta ha commesso un atto di concorrenza sleale affermando come da comunicato stampa __________ (doc. G) che l'attrice: vende in modo illegale i biglietti di AP 1 per il tramite dei suoi portali; incrementa le tariffe dei voli AP 1 applicando commissioni esorbitanti; fornisce termini e condizioni scorrette e ingannevoli; non informa i passeggeri sui cambiamenti dei voli; nega ai passeggeri la possibilità di prenotare i bagagli online; non consente le opzioni del check-in online e della procedura nell'imbarco. È pertanto accertato che dette affermazioni della convenuta hanno carattere illecito. 3.     È fatto divieto alla convenuta di ripetere le affermazioni specificate al punto precedente. Questo divieto è pronunciato sotto la comminatoria dell'azione penale contro gli organi della convenuta (art. 292 CPS), secondo cui chiunque non ottempera ad una decisione a lui intimata da un'autorità competente o da un funzionario competente sotto comminatoria della pena prevista dallo stesso articolo, è punito con la multa". 4. L’attrice è autorizzata a far pubblicare sui quotidiani N__________, T__________ e C__________, a spese della convenuta, una volta entro due mesi dalla crescita in giudicato, nelle pagine delle rubriche economiche e con una grandezza di ¼ di pagina, l’intestazione e i dispositivi n. II.1. II.2 e II.3 della presente sentenza come da indicazioni contenute nei considerandi”. III.     La tassa di giustizia di complessivi fr. 55'000.-, da anticipare dalla parte attrice, sono poste a carico della parte convenuta. Le spese di complessivi fr. 43'334.-, da anticipare così come anticipate, sono poste a carico della parte convenuta. La parte convenuta è condannata a pagare alla parte attrice l'importo di fr. 140'000.- a titolo di ripetibili. IV.     Contro la presente decisione è proponibile il rimedio dell'appello, da presentare direttamente al TrApp entro 30 giorni a decorrere dalla sua notificazione. V.     Notificazione alle parti per il tramite dei rispettivi patrocinatori.”. 2. Le spese processuali della procedura d’appello, pari a fr. 65’000.-, sono a carico dell’appellante, che rifonderà alla controparte fr. 80'000.- per ripetibili di seconda sede. § Ad avvenuta crescita in giudicato della presente decisione, la cauzione processuale di fr. 80'000.- prestata dall’appellante a seguito della decisione 16 settembre 2019 del Presidente di questa Camera sarà liberata a favore della controparte. 3. Notificazione: - avv. ; - avv.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