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12.2019.57 vom 10. März 2020</w:t>
      </w:r>
    </w:p>
    <w:p>
      <w:r>
        <w:t>TI Tribunale d'appello, 2020-03-10, IT</w:t>
      </w:r>
    </w:p>
    <w:p>
      <w:r>
        <w:rPr>
          <w:b/>
        </w:rPr>
        <w:t xml:space="preserve">Quelle: </w:t>
      </w:r>
      <w:r>
        <w:t>https://mcp.opencaselaw.ch/entscheid/ti_gerichte_12.2019.57</w:t>
      </w:r>
    </w:p>
    <w:p>
      <w:r>
        <w:t>FR: TI_GERICHTE 12.2019.57 du 10 mars 2020</w:t>
      </w:r>
    </w:p>
    <w:p>
      <w:r>
        <w:t>IT: TI_GERICHTE 12.2019.57 del 10 marzo 2020</w:t>
      </w:r>
    </w:p>
    <w:p>
      <w:pPr>
        <w:pStyle w:val="Heading2"/>
      </w:pPr>
      <w:r>
        <w:t>Erwägungen</w:t>
      </w:r>
    </w:p>
    <w:p>
      <w:r>
        <w:rPr>
          <w:b/>
        </w:rPr>
        <w:t>E. 1</w:t>
      </w:r>
    </w:p>
    <w:p>
      <w:r>
        <w:t>L’eccezione di perenzione della petizione è respinta e la causa è ritornata al Pretore per la continuazione della procedura.</w:t>
      </w:r>
    </w:p>
    <w:p>
      <w:r>
        <w:rPr>
          <w:b/>
        </w:rPr>
        <w:t>E. 2</w:t>
      </w:r>
    </w:p>
    <w:p>
      <w:r>
        <w:t>Non si prelevano tassa e spese di giustizia. La convenuta rifonderà all’attore fr. 1’800.- per ripetibili. II. Non si prelevano spese processuali. L’appellata rifonderà all’appellante fr. 1’000.- per ripetibili d’appello. III. Notificazione: - - Comunicazione alla Pretura della giurisdizione di Mendrisio nord Per la seconda Camera civile del Tribunale d’appello Il presidente                                                          Il vicecancelliere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74 cpv. 1 e 100 cpv. 1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