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12.2019.197 vom 13. Mai 2020</w:t>
      </w:r>
    </w:p>
    <w:p>
      <w:r>
        <w:t>TI Tribunale d'appello, 2020-05-13, IT</w:t>
      </w:r>
    </w:p>
    <w:p>
      <w:r>
        <w:rPr>
          <w:b/>
        </w:rPr>
        <w:t xml:space="preserve">Quelle: </w:t>
      </w:r>
      <w:r>
        <w:t>https://mcp.opencaselaw.ch/entscheid/ti_gerichte_12.2019.197</w:t>
      </w:r>
    </w:p>
    <w:p>
      <w:r>
        <w:t>FR: TI_GERICHTE 12.2019.197 du 13 mai 2020</w:t>
      </w:r>
    </w:p>
    <w:p>
      <w:r>
        <w:t>IT: TI_GERICHTE 12.2019.197 del 13 maggio 2020</w:t>
      </w:r>
    </w:p>
    <w:p>
      <w:pPr>
        <w:pStyle w:val="Heading2"/>
      </w:pPr>
      <w:r>
        <w:t>Volltext</w:t>
      </w:r>
    </w:p>
    <w:p>
      <w:r>
        <w:t>Incarto n.12.2019.197</w:t>
      </w:r>
    </w:p>
    <w:p>
      <w:r>
        <w:t>Lugano</w:t>
      </w:r>
    </w:p>
    <w:p>
      <w:r>
        <w:t>13 maggio 2020/fb</w:t>
      </w:r>
    </w:p>
    <w:p>
      <w:r>
        <w:t>In nomedella Repubblica e CantoneTicino</w:t>
      </w:r>
    </w:p>
    <w:p>
      <w:r>
        <w:t>La seconda Camera civile del Tribunale d'appello</w:t>
      </w:r>
    </w:p>
    <w:p>
      <w:r>
        <w:t>composta del giudice:</w:t>
      </w:r>
    </w:p>
    <w:p>
      <w:r>
        <w:t>Fiscalini, presidente,</w:t>
      </w:r>
    </w:p>
    <w:p>
      <w:r>
        <w:t>vicecancelliere:</w:t>
      </w:r>
    </w:p>
    <w:p>
      <w:r>
        <w:t>Bettelini</w:t>
      </w:r>
    </w:p>
    <w:p>
      <w:r>
        <w:t>sedente per statuire nella causa - inc. n.SO.2019.4620della Pretura del Distretto di Lugano, sezione 3 - promossa con istanza 26 settembre 2019 da</w:t>
      </w:r>
    </w:p>
    <w:p>
      <w:r>
        <w:t>RE 1</w:t>
      </w:r>
    </w:p>
    <w:p>
      <w:r>
        <w:t>contro</w:t>
      </w:r>
    </w:p>
    <w:p>
      <w:r>
        <w:t>CO 1</w:t>
      </w:r>
    </w:p>
    <w:p>
      <w:r>
        <w:t>con cui listante ha chiesto la condanna della convenuta al pagamento di fr. 68500.- oltre interessi al 5% dal 2 aprile 2019 nonché il rigetto in via definitiva, in tale misura, dellopposizione interposta al PE n. __________ dellUE di Lugano;</w:t>
      </w:r>
    </w:p>
    <w:p>
      <w:r>
        <w:t>domanda avversata dalla convenuta, che ha postulato la reiezione dellistanza, e che il Pretore con decisione 12 novembre 2019 ha dichiarato irricevibile, ponendo a carico dellistante la tassa di giustizia e le spese di complessivi fr. 2000.- e lindennità per ripetibili di fr. 5500.-;</w:t>
      </w:r>
    </w:p>
    <w:p>
      <w:r>
        <w:t>reclamante listante, con reclamo 25 novembre 2019, con cui ha chiesto la riforma del querelato giudizio nel senso di ridurre a fr. 1'500.- la tassa di giustizia e le spese poste a suo carico rispettivamente a fr. 2000.- le ripetibili da lui dovute, con spese e ripetibili di secondo grado a carico dello Stato;</w:t>
      </w:r>
    </w:p>
    <w:p>
      <w:r>
        <w:t>mentre la convenuta, con risposta 23 dicembre 2019, ha postulato la reiezione del gravame, pure con protesta di spese e ripetibili;</w:t>
      </w:r>
    </w:p>
    <w:p>
      <w:r>
        <w:t>letti ed esaminati gli atti e i documenti prodotti;</w:t>
      </w:r>
    </w:p>
    <w:p>
      <w:r>
        <w:t>ritenuto</w:t>
      </w:r>
    </w:p>
    <w:p>
      <w:r>
        <w:t>in fatto e in diritto:</w:t>
      </w:r>
    </w:p>
    <w:p>
      <w:r>
        <w:t>che con istanza 26 settembre 2019, promossa nella procedura sommaria di tutela giurisdizionale nei casi manifesti (art. 257 CPC), RE 1 ha convenuto in giudizio CO 1 innanzi alla Pretura del Distretto di Lugano, sezione 3, per ottenere la sua condanna al pagamento di fr. 68500.- oltre interessi al 5% dal 2 aprile 2019 nonché il rigetto in via definitiva, in tale misura, dellopposizione interposta al PE n. __________ dellUE di Lugano: la somma azionata era riferita a lavori da lui svolti in relazione ai fondi n. __________, __________, __________ e __________ RFD di __________ (progettazione, presentazione di domande di costruzione, varianti e domande di demolizione), nonché alla negoziazione della compravendita di un ulteriore sedime destinato alla costruzione di alcuni garage interrati;</w:t>
      </w:r>
    </w:p>
    <w:p>
      <w:r>
        <w:t>che la convenuta si è opposta allistanza e le parti, nei rispettivi allegati spontanei di replica e di duplica, si sono poi confermate nelle loro antitetiche posizioni;</w:t>
      </w:r>
    </w:p>
    <w:p>
      <w:r>
        <w:t>che con decisione 12 novembre 2019 il Pretore, non ritenendo date le condizioni per accordare la tutela giurisdizionale nei casi manifesti, ha dichiarato irricevibile listanza (dispositivo n. 1) e ha posto a carico dellistante la tassa di giustizia e le spese di complessivi fr. 2000.- come pure lindennità per ripetibili di fr. 5500.- (dispositivo n. 2);</w:t>
      </w:r>
    </w:p>
    <w:p>
      <w:r>
        <w:t>che con reclamo 25 novembre 2019, avversato dalla convenuta con risposta 23 dicembre 2019, listante ha chiesto di riformare il querelato giudizio nel senso di ridurre la tassa di giustizia e le spese a complessivi fr. 1'500.- e lindennità per ripetibili a fr. 2000.-, con spese e ripetibili di secondo grado a carico dello Stato: oltre ad aver lamentato una carente motivazione del giudizio sulle spese e sulle ripetibili, in sé tale da imporre lannullamento del relativo dispositivo, ha ritenuto eccessive le somme attribuite dal primo giudice, che oltretutto avrebbe inutilmente prolungato la procedura, aumentando così lentità delle spese giudiziarie;</w:t>
      </w:r>
    </w:p>
    <w:p>
      <w:r>
        <w:t>che la decisione sulle spese giudiziarie, con cui il Pretore fissa le spese processuali e assegna le ripetibili, è di regola parte della decisione finale (art. 104 cpv. 1 CPC) ed è così impugnabile unitamente alla sentenza finale mediante appello se, pronunciata in una controversia patrimoniale, il valore litigioso di questultima è di almeno fr. 10'000.- (art. 308 cpv. 1 lett. a e cpv. 2 CPC), oppure mediante reclamo, se il suo valore litigioso è inferiore a quellimporto (art. 319 lett. a CPC); in virtù dellart. 110 CPC, laddove il dispositivo in materia di spese è impugnato in modo indipendente è tuttavia dato unicamente il rimedio del reclamo, e ciò a prescindere dal fatto che la decisione finale possa essere impugnata mediante appello o reclamo (Trezzini,Commentario pratico al Codice di diritto processuale civile svizzero, 2ª ed., Vol. 1, p. 565 ad art. 110);</w:t>
      </w:r>
    </w:p>
    <w:p>
      <w:r>
        <w:t>che nel caso concreto, essendo stato impugnato a titolo indipendente il dispositivo pretorile in materia di spese e ripetibili in una vertenza patrimoniale con un valore litigioso superiore a fr. 10'000.-, questa Camera, nella composizione di un giudice unico (art. 48 lett. b n. 7a LOG), è competente a statuire sul reclamo dellistante, inoltrato tempestivamente;</w:t>
      </w:r>
    </w:p>
    <w:p>
      <w:r>
        <w:t>che, preliminarmente, va senzaltro disattesa la censura con cui listante ha lamentato una carente motivazione del giudizio pretorile in materia di spese e ripetibili: la giurisprudenza ha in effetti già avuto modo di ricordare che in linea di principio la decisione sullammontare delle spese e delle ripetibili non devessere motivata, e che, quando esiste una tariffa o una norma legale che ne fissa il minimo e il massimo, il giudice deve unicamente motivare le sua decisione se non si attiene a tali limiti, se degli elementi straordinari sono invocati dalla parte interessata o ancora qualora - per quanto riguarda le ripetibili - il giudice si scosti dalla nota donorario prodotta e conceda un importo inferiore o superiore a quelli abituali (DTF 139 V 496 consid. 5; TF 4A_361/2015 del 14 settembre 2016 consid. 8): nel caso di specie listante non ha assolutamente preteso, ancor prima di averlo provato, che ricorresse una di queste eccezionali condizioni;</w:t>
      </w:r>
    </w:p>
    <w:p>
      <w:r>
        <w:t>che, passando ora ad esaminare il merito del reclamo,è ampiamente a torto che listante ha rimproverato al Pretore di aver esaminato la tematica della ricevibilità dellistanza solo al termine della causa, invece di averla decisa preliminarmente o comunque dopo aver effettuato lusuale udienza di discussione, ciò che avrebbe causato un aumento della tassa di giustizia e delle ripetibili poi poste a suo carico: a parte il fatto che nessuna norma di legge imponeva al Pretore di decidere preliminarmente quella tematica (tanto è vero che giusta lart. 125 lett. a CPC il giudice poteva - ma non doveva - limitare il procedimento a singole questioni o conclusioni), si osserva in effetti che neppure listante gli aveva a suo tempo proposto di agire in tal modo e anzi era stato proprio lui, dopo aver preso atto, senza aver obiettato, dellintenzione del giudice di rinunciare alludienza di discussione e di fissare alla convenuta un termine per le osservazioni, rispettivamente dopo aver ricevuto le osservazioni di risposta di questultima, a voler presentare un allegato di replica spontanea (a cui ha fatto seguito la duplica spontanea della controparte), sicché è malvenuto a dolersi ora del modo di procedere adottato dal primo giudice (II CCA 27 febbraio 2006 inc. n. 12.2005.11, 7 dicembre 2006 inc. n. 12.2006.213, 2 marzo 2016 inc. n. 12.2015.24);</w:t>
      </w:r>
    </w:p>
    <w:p>
      <w:r>
        <w:t>che, per giurisprudenza invalsa, nella fissazione della tassa di giustizia e delle ripetibili il Pretore gode di un ampio potere di apprezzamento, censurabile in sede appello o di reclamo solo in caso di eccesso o di abuso, ciò che di regola non è il caso se gli importi attribuiti rientrano tra i minimi e i massimi delle tariffe applicabili (per tante: II CCA 14 giugno 2019 inc. n. 12.2017.160, 4 novembre 2019 inc. n. 12.2019.80);</w:t>
      </w:r>
    </w:p>
    <w:p>
      <w:r>
        <w:t>chela somma attribuita non appare eccessiva o abusivanemmeno laddove si applichi la disposizione - per altro solo potestativa - di cuiallart. 13 cpv. 2 RTar: in tal caso, secondo questa Camera, lindennità per ripetibili, oltre allonorario calcolato in base al criterioad valorem, che concretamente avrebbe potuto essere stabilito nella percentuale media del 6.05% ossia in fr. 4'150.-, avrebbe in effetti dovuto tenere conto anchedelle ore di lavoro impiegate dal legale della controparte, il quale, confrontato condue allegati entrambi di 5 pagine, corredati da complessivi 19 documenti, aveva inoltrato due allegati entrambi di 11 pagine,con un dispendio di tempo oggettivamente quantificabile in almeno 15 ore lavorative, e che, sulla base dellart. 12 RTar (fr. 280.- allora,importo da ritenersi congruo allimportanza della causa), avrebbe giustificato un onorarioad horamdi almeno fr. 4200.-; in tali circostanze, tenuto conto dellIVA e delle spese vive, le ripetibili da attribuire non sarebbero state significativamente distanti da quelle assegnate dal Pretore;</w:t>
      </w:r>
    </w:p>
    <w:p>
      <w:r>
        <w:t>che in ogni caso, dunque, limporto attribuito dal primo giudice a titolo di ripetibili, che rientra tra i minimi e i massimi della tariffa, non può essere considerato eccessivo o abusivo: ciò conduce alla reiezione del reclamo anche su questo punto;</w:t>
      </w:r>
    </w:p>
    <w:p>
      <w:r>
        <w:t>che le spese giudiziarie della procedura di secondo grado seguono la soccombenza del reclamante (art. 106 cpv. 1 CPC).</w:t>
      </w:r>
    </w:p>
    <w:p>
      <w:r>
        <w:t>-</w:t>
      </w:r>
    </w:p>
    <w:p>
      <w:r>
        <w:t>-</w:t>
      </w:r>
    </w:p>
    <w:p>
      <w:r>
        <w:t>Per la seconda Camera civile del Tribunale dappello</w:t>
      </w:r>
    </w:p>
    <w:p>
      <w:r>
        <w:t>Il presidente                                                          Il vicecancelliere</w:t>
      </w:r>
    </w:p>
    <w:p>
      <w:r>
        <w:t>Rimedi giuridici</w:t>
      </w:r>
    </w:p>
    <w:p>
      <w:r>
        <w:t>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