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12.2019.191 vom 25. Februar 2020</w:t>
      </w:r>
    </w:p>
    <w:p>
      <w:r>
        <w:t>TI Tribunale d'appello, 2020-02-25, IT</w:t>
      </w:r>
    </w:p>
    <w:p>
      <w:r>
        <w:rPr>
          <w:b/>
        </w:rPr>
        <w:t xml:space="preserve">Quelle: </w:t>
      </w:r>
      <w:r>
        <w:t>https://mcp.opencaselaw.ch/entscheid/ti_gerichte_12.2019.191</w:t>
      </w:r>
    </w:p>
    <w:p>
      <w:r>
        <w:t>FR: TI_GERICHTE 12.2019.191 du 25 février 2020</w:t>
      </w:r>
    </w:p>
    <w:p>
      <w:r>
        <w:t>IT: TI_GERICHTE 12.2019.191 del 25 febbraio 2020</w:t>
      </w:r>
    </w:p>
    <w:p>
      <w:pPr>
        <w:pStyle w:val="Heading2"/>
      </w:pPr>
      <w:r>
        <w:t>Regeste</w:t>
      </w:r>
    </w:p>
    <w:p>
      <w:r>
        <w:t>Tutela casi manifesti - appello irricevibile</w:t>
      </w:r>
    </w:p>
    <w:p>
      <w:pPr>
        <w:pStyle w:val="Heading2"/>
      </w:pPr>
      <w:r>
        <w:t>Erwägungen</w:t>
      </w:r>
    </w:p>
    <w:p>
      <w:r>
        <w:rPr>
          <w:b/>
        </w:rPr>
        <w:t>E. 1</w:t>
      </w:r>
    </w:p>
    <w:p>
      <w:r>
        <w:t>L’appello 15 novembre 2019 di AP 1 è respinto per quanto ricevibile .</w:t>
      </w:r>
    </w:p>
    <w:p>
      <w:r>
        <w:rPr>
          <w:b/>
        </w:rPr>
        <w:t>E. 2</w:t>
      </w:r>
    </w:p>
    <w:p>
      <w:r>
        <w:t>Non si prelevano spese processuali e non si assegnano ripetibili.</w:t>
      </w:r>
    </w:p>
    <w:p>
      <w:r>
        <w:rPr>
          <w:b/>
        </w:rPr>
        <w:t>E. 3</w:t>
      </w:r>
    </w:p>
    <w:p>
      <w:r>
        <w:t>Notificazione: -    ; -   . Comunicazione alla Pretura della Giurisdizione di Locarno-Città.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