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12.2019.139 vom 30. November 2020</w:t>
      </w:r>
    </w:p>
    <w:p>
      <w:r>
        <w:t>TI Tribunale d'appello, 2020-11-30, IT</w:t>
      </w:r>
    </w:p>
    <w:p>
      <w:r>
        <w:rPr>
          <w:b/>
        </w:rPr>
        <w:t xml:space="preserve">Quelle: </w:t>
      </w:r>
      <w:r>
        <w:t>https://mcp.opencaselaw.ch/entscheid/ti_gerichte_12.2019.139</w:t>
      </w:r>
    </w:p>
    <w:p>
      <w:r>
        <w:t>FR: TI_GERICHTE 12.2019.139 du 30 novembre 2020</w:t>
      </w:r>
    </w:p>
    <w:p>
      <w:r>
        <w:t>IT: TI_GERICHTE 12.2019.139 del 30 novembre 2020</w:t>
      </w:r>
    </w:p>
    <w:p>
      <w:pPr>
        <w:pStyle w:val="Heading2"/>
      </w:pPr>
      <w:r>
        <w:t>Erwägungen</w:t>
      </w:r>
    </w:p>
    <w:p>
      <w:r>
        <w:rPr>
          <w:b/>
        </w:rPr>
        <w:t>E. 1</w:t>
      </w:r>
    </w:p>
    <w:p>
      <w:r>
        <w:t>L’appello 4 settembre 2019 di AP 1 è parzialmente accolto nella sua domanda subordinata. La decisione 4 luglio 2019 è annullata e gli atti di causa sono ritornati al Pretore per un nuovo giudizio ai sensi dei considerandi.</w:t>
      </w:r>
    </w:p>
    <w:p>
      <w:r>
        <w:rPr>
          <w:b/>
        </w:rPr>
        <w:t>E. 2</w:t>
      </w:r>
    </w:p>
    <w:p>
      <w:r>
        <w:t>Le spese processuali di fr. 3'000.- sono poste a carico dell’appellata. AO 1 rifonderà a AP 1 fr. 3’000.- per ripetibili di appello.</w:t>
      </w:r>
    </w:p>
    <w:p>
      <w:r>
        <w:rPr>
          <w:b/>
        </w:rPr>
        <w:t>E. 3</w:t>
      </w:r>
    </w:p>
    <w:p>
      <w:r>
        <w:t>Notificazione: - avv.    ; - avv.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