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12.2019.127 vom 25. August 2020</w:t>
      </w:r>
    </w:p>
    <w:p>
      <w:r>
        <w:t>TI Tribunale d'appello, 2020-08-25, IT</w:t>
      </w:r>
    </w:p>
    <w:p>
      <w:r>
        <w:rPr>
          <w:b/>
        </w:rPr>
        <w:t xml:space="preserve">Quelle: </w:t>
      </w:r>
      <w:r>
        <w:t>https://mcp.opencaselaw.ch/entscheid/ti_gerichte_12.2019.127</w:t>
      </w:r>
    </w:p>
    <w:p>
      <w:r>
        <w:t>FR: TI_GERICHTE 12.2019.127 du 25 août 2020</w:t>
      </w:r>
    </w:p>
    <w:p>
      <w:r>
        <w:t>IT: TI_GERICHTE 12.2019.127 del 25 agosto 2020</w:t>
      </w:r>
    </w:p>
    <w:p>
      <w:pPr>
        <w:pStyle w:val="Heading2"/>
      </w:pPr>
      <w:r>
        <w:t>Regeste</w:t>
      </w:r>
    </w:p>
    <w:p>
      <w:r>
        <w:t>Ammissibilità della domanda riconvenzionale - interpello - mercede d'appalto - compensazione</w:t>
      </w:r>
    </w:p>
    <w:p>
      <w:pPr>
        <w:pStyle w:val="Heading2"/>
      </w:pPr>
      <w:r>
        <w:t>Erwägungen</w:t>
      </w:r>
    </w:p>
    <w:p>
      <w:r>
        <w:rPr>
          <w:b/>
        </w:rPr>
        <w:t>E. 10</w:t>
      </w:r>
    </w:p>
    <w:p>
      <w:r>
        <w:t>È in definitiva con pertinenza che il Pretore ha concluso che la petizione doveva essere respinta per compensazione.</w:t>
      </w:r>
    </w:p>
    <w:p>
      <w:r>
        <w:rPr>
          <w:b/>
        </w:rPr>
        <w:t>E. 11</w:t>
      </w:r>
    </w:p>
    <w:p>
      <w:r>
        <w:t>Ne discende che l’appello dell’attrice dev’essere parzialmente accolto nel senso che, invariato il giudizio sulla petizione, la domanda riconvenzionale va dichiarata inammissibile, mentre che l’appello della convenuta dev’essere respinto, il tutto senza che sia necessario esaminare la fondatezza o meno delle ultime due sue contropretese, quella di fr. 10'335.40 + IVA per “facchini” ingaggiati da J__________ SA nel 2016 e quella di fr. 36'000.- + IVA per prestazioni di __________ __________. Le spese giudiziarie dei procedimenti di primo e di secondo grado seguono la rispettiva soccombenza delle parti (art. 106 cpv. 1 e 2 CPC), ritenuto che le stesse sono state calcolate per la procedura di appello dell’attrice sulla base del valore ancora litigioso di fr. 20'924.45 e per la procedura di appello della convenuta sulla base del valore ancora litigioso di fr. 44'117.79. Per questi motivi, richiamati l’art. 106 CPC, la LTG e il RTar decide: I. L’appello 8 agosto 2019 di AP 1 (inc. n. 12.2019.127) è parzialmente accolto . Di conseguenza la decisione 25 giugno 2019 della Pretura del Distretto di Lugano, sezione 1, è così riformata: 1.     (invariato) 1.1.  (invariato) 2. La domanda riconvenzionale è inammissibile. 2.1.  La tassa di giustizia e le spese, di complessivi fr. 2’500.-, sono poste a carico dell’attrice riconvenzionale, che rifonderà alla convenuta riconvenzionale fr. 4'800.- per ripetibili. II. Le spese processuali della procedura di cui all’appello 8 agosto 2019, di fr. 2’500.-, sono poste a carico delle parti in ragione di metà ciascuna, compensate le ripetibili. III. L’appello 19 agosto 2019 di AO 1 (inc. n. 12.2019.133) è respinto. IV. Le spese processuali della procedura di cui all’appello 19 agosto 2019, di fr. 4'000.-, sono poste a carico dell’appellante, che rifonderà all’appellata fr. 3'000.- per ripetibili. V. Notificazione: -      ; -      . Comunicazione alla Pretura del Distretto di Lugano, sezione 1.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