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12.2019.123 vom 28. August 2019</w:t>
      </w:r>
    </w:p>
    <w:p>
      <w:r>
        <w:t>TI Tribunale d'appello, 2019-08-28, IT</w:t>
      </w:r>
    </w:p>
    <w:p>
      <w:r>
        <w:rPr>
          <w:b/>
        </w:rPr>
        <w:t xml:space="preserve">Quelle: </w:t>
      </w:r>
      <w:r>
        <w:t>https://mcp.opencaselaw.ch/entscheid/ti_gerichte_12.2019.123</w:t>
      </w:r>
    </w:p>
    <w:p>
      <w:r>
        <w:t>FR: TI_GERICHTE 12.2019.123 du 28 août 2019</w:t>
      </w:r>
    </w:p>
    <w:p>
      <w:r>
        <w:t>IT: TI_GERICHTE 12.2019.123 del 28 agosto 2019</w:t>
      </w:r>
    </w:p>
    <w:p>
      <w:pPr>
        <w:pStyle w:val="Heading2"/>
      </w:pPr>
      <w:r>
        <w:t>Regeste</w:t>
      </w:r>
    </w:p>
    <w:p>
      <w:r>
        <w:t>Locazione, procedura sommaria di espulsione dall'ente locato, mancata contestazione della validità della disdetta, valore litigioso, scelta del rimedio giuridico errato</w:t>
      </w:r>
    </w:p>
    <w:p>
      <w:pPr>
        <w:pStyle w:val="Heading2"/>
      </w:pPr>
      <w:r>
        <w:t>Erwägungen</w:t>
      </w:r>
    </w:p>
    <w:p>
      <w:r>
        <w:rPr>
          <w:b/>
        </w:rPr>
        <w:t>E. 9</w:t>
      </w:r>
    </w:p>
    <w:p>
      <w:r>
        <w:t>In virtù di quanto precede l’appello, introdotto in luogo del reclamo, dev’essere dichiarato irricevibile. La conversione dell’appello in reclamo non è possibile, la giurisprudenza più recente avendo precisato che ciò sarebbe possibile unicamente ove l’errata intestazione del rimedio sia dovuta a una svista o a un’inavvertenza manifesta oppure nell’ipotesi in cui la scelta del rimedio giuridico non fosse facilmente riconoscibile, circostanze che qui non ricorrono. La conversione è in ogni modo esclusa ove un mandatario professionale inoltra scientemente un appello dovendo sapere, usando la debita diligenza, che tale mezzo d’impugnazione è erroneo (v. CCR 15 aprile 2019, inc. 16.2017.21, consid. 2, con rinvio a DTF 5A_221/2018 del 4 giugno 2018). Nel caso in esame già si è detto che i legali di AP 1 hanno scientemente introdotto un appello invece di un reclamo con argomenti chiaramente pretestuosi. L’odierna decisione rende priva d’oggetto la domanda di effetto sospensivo.</w:t>
      </w:r>
    </w:p>
    <w:p>
      <w:r>
        <w:rPr>
          <w:b/>
        </w:rPr>
        <w:t>E. 10</w:t>
      </w:r>
    </w:p>
    <w:p>
      <w:r>
        <w:t>La tassa di giustizia è fissata in applicazione dell’art. 9 cpv. 3 LTG. RA 1 ha validamente rappresentato la parte locatrice in virtù della procura agli atti (v. doc. A), essa non ha tuttavia motivato la sua qualifica di rappresentante professionalmente qualificato ai sensi dell’art. 68 cpv. 2 lett. d CPC nonché</w:t>
      </w:r>
    </w:p>
    <w:p>
      <w:r>
        <w:rPr>
          <w:b/>
        </w:rPr>
        <w:t>E. 12</w:t>
      </w:r>
    </w:p>
    <w:p>
      <w:r>
        <w:t>della Legge cantonale di applicazione del codice di diritto processuale civile svizzero (LACPC), di modo che non possono esserle riconosciute ripetibili ex art. 95 cpv.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