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12.2018.128 vom 19. Februar 2020</w:t>
      </w:r>
    </w:p>
    <w:p>
      <w:r>
        <w:t>TI Tribunale d'appello, 2020-02-19, IT</w:t>
      </w:r>
    </w:p>
    <w:p>
      <w:r>
        <w:rPr>
          <w:b/>
        </w:rPr>
        <w:t xml:space="preserve">Quelle: </w:t>
      </w:r>
      <w:r>
        <w:t>https://mcp.opencaselaw.ch/entscheid/ti_gerichte_12.2018.128</w:t>
      </w:r>
    </w:p>
    <w:p>
      <w:r>
        <w:t>FR: TI_GERICHTE 12.2018.128 du 19 février 2020</w:t>
      </w:r>
    </w:p>
    <w:p>
      <w:r>
        <w:t>IT: TI_GERICHTE 12.2018.128 del 19 febbraio 2020</w:t>
      </w:r>
    </w:p>
    <w:p>
      <w:pPr>
        <w:pStyle w:val="Heading2"/>
      </w:pPr>
      <w:r>
        <w:t>Regeste</w:t>
      </w:r>
    </w:p>
    <w:p>
      <w:r>
        <w:t>Locazione - indennità per migliorie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Da ultimo AP 1 ha pure criticato il Pretore aggiunto per la modalità con cui ha calcolato l’ammortamento degli investimenti. A detta dell’appellante il tasso di ammortamento applicato non è corretto, non tenendo conto dell’ampiezza e dell’importanza dei lavori effettuati. Per contro, sarebbe conforme all’uso del settore della ristorazione il deprezzamento indicato dall’arch. K__________ del 10% per il primo anno e del 4% dal secondo all’ottavo anno, maggiormente realistico anche considerato il tasso d’ammortamento del 6% annuo che viene applicato in ambito fiscale. Di conseguenza il valore dopo l’ammortamento deve essere di fr. 81'910.30, cioè 6% su fr. 204'525.89 per 10 anni.</w:t>
      </w:r>
    </w:p>
    <w:p>
      <w:r>
        <w:rPr>
          <w:b/>
        </w:rPr>
        <w:t>E. 9.1</w:t>
      </w:r>
    </w:p>
    <w:p>
      <w:r>
        <w:t>Il Pretore aggiunto ha utilizzato, per il calcolo degli ammortamenti di ogni singolo intervento comprovato, la “guida della durata della vita” allestita dall’Associazione Svizzera Inquilini della Svizzera tedesca (MV) e dall’Associazione Svizzera dei proprietari immobiliari (HEV Schweiz) e tendo conto che per i ristoranti la durata della vita si riduce del 50%, come indicato all’art. 14 della guida (sentenza impugnata, consid. 7.4, pag. 7 seg.).</w:t>
      </w:r>
    </w:p>
    <w:p>
      <w:r>
        <w:rPr>
          <w:b/>
        </w:rPr>
        <w:t>E. 9.2</w:t>
      </w:r>
    </w:p>
    <w:p>
      <w:r>
        <w:t>Le tesi dell’appellante, formulate in maniera perentoria e non supportate da prova alcuna, sono, una volta di più, impossibili da seguire. In effetti, AP 1 non ha dimostrato in alcun modo che il metodo di computo del deprezzamento utilizzato nella perizia di parte del 14 gennaio 2014 sia corretto e conforme agli usi del settore. D’altronde, da tale referto non è neppure possibile comprendere in base a quali criteri l’architetto incaricato abbia ritenuto che per il primo anno fosse da applicare un tasso di deprezzamento del 10% e per gli anni seguenti quello del 4%. Sull’altro fronte il Pretore aggiunto ha utilizzato delle tabelle facilmente rinvenibili in internet (al sito www.asi-infoalloggio.ch/wp-content/uploads/2016/g-tabella-della-durata-di-vita.pdf ), i cui contenuti sono stati concordati paritariamente da due delle maggiori associazioni svizzere degli inquilini e dei proprietari (quindi di entrambe le parti contrattuali, con interessi contrapposti) e sono unanimemente riconosciuti nel settore, oltre che essere del tutto ragionevoli e condivisibili anche da un punto di vista oggettivo. I criteri di ammortamento validi in ambito fiscale, invece, non trovano automaticamente applicazione in ambito civile, fondandosi su principi sostanzialmente differenti, e non possono dunque essere richiamati in una vertenza come quella qui in oggetto senza che ne venga documentata e spiegata l’utilizzabilità nel caso concreto. Anche su questo punto, quindi, l’appello deve essere respinto.</w:t>
      </w:r>
    </w:p>
    <w:p>
      <w:r>
        <w:rPr>
          <w:b/>
        </w:rPr>
        <w:t>E. 10</w:t>
      </w:r>
    </w:p>
    <w:p>
      <w:r>
        <w:t>Le spese processuali seguono la soccombenza totale dell’appellante (art. 106 CPC). Il valore litigioso, determinante ai fini di un eventuale ricorso al Tribunale federale, è di fr. 280’000.-. Per questi motivi, decide: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