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12.2017.72 vom 13. Juli 2017</w:t>
      </w:r>
    </w:p>
    <w:p>
      <w:r>
        <w:t>TI Tribunale d'appello, 2017-07-13, IT</w:t>
      </w:r>
    </w:p>
    <w:p>
      <w:r>
        <w:rPr>
          <w:b/>
        </w:rPr>
        <w:t xml:space="preserve">Quelle: </w:t>
      </w:r>
      <w:r>
        <w:t>https://mcp.opencaselaw.ch/entscheid/ti_gerichte_12.2017.72</w:t>
      </w:r>
    </w:p>
    <w:p>
      <w:r>
        <w:t>FR: TI_GERICHTE 12.2017.72 du 13 juillet 2017</w:t>
      </w:r>
    </w:p>
    <w:p>
      <w:r>
        <w:t>IT: TI_GERICHTE 12.2017.72 del 13 luglio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n. 3 CO): la misura, meno severa, della nomina di un commissario (oltretutto quello stesso che era già stato nominato precedentemente) si è in effetti già rivelata priva di successo, visto che entro il termine del 31 dicembre 2016, neppure tempestivamente prorogato, non è stato possibile attuare quanto previsto dalla decisione 13 giugno 2016 (doc. 1) (segnatamente nominare un nuovo amministratore e/o convocare l’assemblea generale con le trattande indicate); in quest’ultima decisione il Pretore aveva inoltre stabilito che l’onorario del commissario, da anticipare dall’istante, sarebbe stato a carico della società e che in caso di mancato pagamento dello stesso, ciò che era poi stato il caso (cfr. udienza di discussione</w:t>
      </w:r>
    </w:p>
    <w:p>
      <w:r>
        <w:rPr>
          <w:b/>
        </w:rPr>
        <w:t>E. 2</w:t>
      </w:r>
    </w:p>
    <w:p>
      <w:r>
        <w:t>La spese processuali, in complessivi fr. 450.-, sono poste a carico di AO 1, che rifonderà a AP 1 fr. 900.- a titolo di ripetibili. II. Le spese processuali di fr. 1 ' 500.- sono a carico dell’appellato, che rifonderà all’appellante fr. 1 ' 500.- per ripetibili di appello. III. Notificazione: -; -; -. Comunicazione alla Pretura della giurisdizione di Mendrisio sud e all’Ufficio del Registro di commercio, Biasca (per le eventuali registrazioni di sua competenza) Per la seconda Camera civile del Tribunale d’appello Il presidente                                                          Il vicecancelliere Rimedi giuridici Nelle cause a carattere pecuniario con un valore litigioso superiore a fr. 30'000.- è dato ricorso in materia civile al Tribunale federale, 1000 Losanna 14, entro 30 giorni dalla notificazione del testo integrale della decisione (art. 74 cpv. 1 e 100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