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12.2017.43 vom 26. April 2017</w:t>
      </w:r>
    </w:p>
    <w:p>
      <w:r>
        <w:t>TI Tribunale d'appello, 2017-04-26, IT</w:t>
      </w:r>
    </w:p>
    <w:p>
      <w:r>
        <w:rPr>
          <w:b/>
        </w:rPr>
        <w:t xml:space="preserve">Quelle: </w:t>
      </w:r>
      <w:r>
        <w:t>https://mcp.opencaselaw.ch/entscheid/ti_gerichte_12.2017.43</w:t>
      </w:r>
    </w:p>
    <w:p>
      <w:r>
        <w:t>FR: TI_GERICHTE 12.2017.43 du 26 avril 2017</w:t>
      </w:r>
    </w:p>
    <w:p>
      <w:r>
        <w:t>IT: TI_GERICHTE 12.2017.43 del 26 aprile 2017</w:t>
      </w:r>
    </w:p>
    <w:p>
      <w:pPr>
        <w:pStyle w:val="Heading2"/>
      </w:pPr>
      <w:r>
        <w:t>Regeste</w:t>
      </w:r>
    </w:p>
    <w:p>
      <w:r>
        <w:t>Locazione - risarcimento danni - appello irricevibile</w:t>
      </w:r>
    </w:p>
    <w:p>
      <w:pPr>
        <w:pStyle w:val="Heading2"/>
      </w:pPr>
      <w:r>
        <w:t>Erwägungen</w:t>
      </w:r>
    </w:p>
    <w:p>
      <w:r>
        <w:rPr>
          <w:b/>
        </w:rPr>
        <w:t>E. 1</w:t>
      </w:r>
    </w:p>
    <w:p>
      <w:r>
        <w:t>e AP 2 è irricevibile .</w:t>
      </w:r>
    </w:p>
    <w:p>
      <w:r>
        <w:rPr>
          <w:b/>
        </w:rPr>
        <w:t>E. 2</w:t>
      </w:r>
    </w:p>
    <w:p>
      <w:r>
        <w:t>Le spese processuali di complessivi fr. 50.- sono poste a carico degli appellanti in solido. Non si assegnano ripetibili.</w:t>
      </w:r>
    </w:p>
    <w:p>
      <w:r>
        <w:rPr>
          <w:b/>
        </w:rPr>
        <w:t>E. 3</w:t>
      </w:r>
    </w:p>
    <w:p>
      <w:r>
        <w:t>Notificazione: - - - Comunicazione alla Pretura del Distretto di Lugano, sezione 4 Per la seconda Camera civile del Tribunale d’appello Il presidente A. Fiscalini Rimedi giuridici: pagina seguente Nelle cause a carattere pecuniario in materia di locazione con un valore litigioso inferiore a fr. 15'000.-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