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12.2017.145 vom 19. Oktober 2018</w:t>
      </w:r>
    </w:p>
    <w:p>
      <w:r>
        <w:t>TI Tribunale d'appello, 2018-10-19, IT</w:t>
      </w:r>
    </w:p>
    <w:p>
      <w:r>
        <w:rPr>
          <w:b/>
        </w:rPr>
        <w:t xml:space="preserve">Quelle: </w:t>
      </w:r>
      <w:r>
        <w:t>https://mcp.opencaselaw.ch/entscheid/ti_gerichte_12.2017.145</w:t>
      </w:r>
    </w:p>
    <w:p>
      <w:r>
        <w:t>FR: TI_GERICHTE 12.2017.145 du 19 octobre 2018</w:t>
      </w:r>
    </w:p>
    <w:p>
      <w:r>
        <w:t>IT: TI_GERICHTE 12.2017.145 del 19 ottobre 2018</w:t>
      </w:r>
    </w:p>
    <w:p>
      <w:pPr>
        <w:pStyle w:val="Heading2"/>
      </w:pPr>
      <w:r>
        <w:t>Volltext</w:t>
      </w:r>
    </w:p>
    <w:p>
      <w:r>
        <w:t>Incarto n.12.2017.145</w:t>
      </w:r>
    </w:p>
    <w:p>
      <w:r>
        <w:t>Lugano</w:t>
      </w:r>
    </w:p>
    <w:p>
      <w:r>
        <w:t>19 ottobre 2018/fb</w:t>
      </w:r>
    </w:p>
    <w:p>
      <w:r>
        <w:t>In nomedella Repubblica e CantoneTicino</w:t>
      </w:r>
    </w:p>
    <w:p>
      <w:r>
        <w:t>Il vicepresidente della seconda Camera civile del Tribunale d'appello</w:t>
      </w:r>
    </w:p>
    <w:p>
      <w:r>
        <w:t>quale giudice unico (art. 48b cpv. 1 lett. a cfr. 1 LOG)</w:t>
      </w:r>
    </w:p>
    <w:p>
      <w:r>
        <w:t>visto l'appello 14 settembre/ 9 ottobre 2017 presentato da</w:t>
      </w:r>
    </w:p>
    <w:p>
      <w:r>
        <w:t>AP 1</w:t>
      </w:r>
    </w:p>
    <w:p>
      <w:r>
        <w:t>AP 2</w:t>
      </w:r>
    </w:p>
    <w:p>
      <w:r>
        <w:t>AP 3</w:t>
      </w:r>
    </w:p>
    <w:p>
      <w:r>
        <w:t>AP 4</w:t>
      </w:r>
    </w:p>
    <w:p>
      <w:r>
        <w:t>contro</w:t>
      </w:r>
    </w:p>
    <w:p>
      <w:r>
        <w:t>la decisione 4 agosto 2017 del Pretore del Distretto di Lugano, sezione 2, nella causa promossa dagli appellanti contro</w:t>
      </w:r>
    </w:p>
    <w:p>
      <w:r>
        <w:t>AO 1</w:t>
      </w:r>
    </w:p>
    <w:p>
      <w:r>
        <w:t>ritenuto</w:t>
      </w:r>
    </w:p>
    <w:p>
      <w:r>
        <w:t>in fatto e in diritto:</w:t>
      </w:r>
    </w:p>
    <w:p>
      <w:r>
        <w:t>che tale importo non è stato pagato entro il termine assegnato e neppure entro il termine suppletorio assegnato il 4 settembre 2018 e scadente il 10 ottobre 2018 con lavvertenza che in caso di mancato pagamento la Camera non sarebbe entrata nel merito dellappello ai sensi dellart. 101 cpv. 3 CPC;</w:t>
      </w:r>
    </w:p>
    <w:p>
      <w:r>
        <w:t>che in tali circostanze la Camera non può entrare nel merito dellappello e deve dichiararlo inammissibile;</w:t>
      </w:r>
    </w:p>
    <w:p>
      <w:r>
        <w:t>che le spese processuali andrebbero di principio a carico di chi le ha provocate, ma le circostanze inducono in questo particolare caso a prescindere da ogni prelievo;</w:t>
      </w:r>
    </w:p>
    <w:p>
      <w:r>
        <w:t>che non si giustifica di attribuire spese ripetibili alla controparte, alla quale lappello non è stato notificato per osservazioni;</w:t>
      </w:r>
    </w:p>
    <w:p>
      <w:r>
        <w:t>che il valore litigioso ai fini di un eventuale ricorso al Tribunale federale è superiore a fr. 30000.-.</w:t>
      </w:r>
    </w:p>
    <w:p>
      <w:r>
        <w:t>Per la seconda Camera civile del Tribunale dappello</w:t>
      </w:r>
    </w:p>
    <w:p>
      <w:r>
        <w:t>Il vicepresidente</w:t>
      </w:r>
    </w:p>
    <w:p>
      <w:r>
        <w:t>(Giudice Bozzini)</w:t>
      </w:r>
    </w:p>
    <w:p>
      <w:r>
        <w:t>Rimedi giuridici</w:t>
      </w:r>
    </w:p>
    <w:p>
      <w:r>
        <w:t>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