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12.2016.72 vom 30. August 2016</w:t>
      </w:r>
    </w:p>
    <w:p>
      <w:r>
        <w:t>TI Tribunale d'appello, 2016-08-30, IT</w:t>
      </w:r>
    </w:p>
    <w:p>
      <w:r>
        <w:rPr>
          <w:b/>
        </w:rPr>
        <w:t xml:space="preserve">Quelle: </w:t>
      </w:r>
      <w:r>
        <w:t>https://mcp.opencaselaw.ch/entscheid/ti_gerichte_12.2016.72</w:t>
      </w:r>
    </w:p>
    <w:p>
      <w:r>
        <w:t>FR: TI_GERICHTE 12.2016.72 du 30 août 2016</w:t>
      </w:r>
    </w:p>
    <w:p>
      <w:r>
        <w:t>IT: TI_GERICHTE 12.2016.72 del 30 agosto 2016</w:t>
      </w:r>
    </w:p>
    <w:p>
      <w:pPr>
        <w:pStyle w:val="Heading2"/>
      </w:pPr>
      <w:r>
        <w:t>Regeste</w:t>
      </w:r>
    </w:p>
    <w:p>
      <w:r>
        <w:t>Società anonima - lacune nell'organizzazione (organo di revisione) - scioglimento - appello - ripristino della situazione legale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chiede di riformare il querelato giudizio nel senso di respingere l'istanza dell'AO 1, revocando di conseguenza il suo scioglimento e la sua liquidazione in via di fallimento; l'appellante adduce di avere nel frattempo ripristinato la situazione legale, producendo a comprova di tale circostanza la dichiarazione 11 maggio 2016 con la quale la società __________ Sagl, che ritiene di possedere i requisiti previsti dagli art. 727c e 728 CO, si dichiara disposta “ ad accettare la carica di ufficio di revisione ” (doc. 7); che successivamente, con scritto 21 luglio 2016, l’appellante ha poi provveduto a integrare l’appello producendo il verbale dell’assemblea generale straordinaria del 20 luglio 2016 che ha nominato il nuovo revisore (doc. 8); che l’AO 1, con risposta 24 agosto 2016, preso atto che la società ha nel frattempo provveduto a ripristinare la situazione legale, ha comunicato di rimanere “ in attesa di ricevere il nulla osta all’iscrizione del nuovo organo di revisione ”; che, giusta l'art. 317 cpv. 1 CPC, in appello nuovi fatti e nuovi mezzi di prova sono considerati soltanto se: a. vengono immediatamente addotti, e b. dinanzi alla giurisdizione inferiore non era possibile addurli nemmeno con la diligenza ragionevolmente esigibile, tenuto conto delle circostanze; che, nel caso di specie, la nomina di un nuovo organo di revisione, debitamente comprovata dal documento prodotto (doc. 8), costituisce un vero e proprio novum , trattandosi di un fatto che si è verificato dopo l’emanazione della pronunzia pretorile, di modo che la stessa può e deve essere tenuta in considerazione senza restrizioni in questa sede in applicazione dell'art. 317 cpv. 1 CPC (cfr. Messaggio concernente il Codice di diritto processuale civile svizzero (CPC), in: FF 2006 p. 6747); che, ferma questa premessa, il ripristino della situazione di legalità nelle more della procedura ricorsuale è idoneo a evitare lo scioglimento di una società che presentava lacune nell’organizzazione ( Lorandi , Konkursverfahren über Handelsgesellschaften ohne Konkurseröffnung - Gedanken zu Art. 731b OR, in: AJP 11/2008 p. 1386; Lorandi , Organisationsmängel von Gesellschaften mit tückischen Folgen, in: ST 2009 p. 91; cfr. TF 22 giugno 2010 4A_106/2010 consid. 11.4.3, pubbl. in DTF 136 III 369; II CCA 25 agosto 2011 inc. n. 12.2011.133, 28 ottobre 2011 inc. n. 12.2011.142; 29 gennaio 2015 inc. 12.2014.221); che la presa in considerazione di questo fatto nuovo implica, dunque, la reiezione dell'istanza 5 aprile 2016 dell'AO 1 e, di conseguenza, anche l'annullamento della pronuncia pretorile, che l'accoglieva (in tal senso Lorandi , in: AJP 11/2008 p. 1388; Machado , Carences dans l’organisation de la société anonyme - Arrêt 4A_106/2010 du 22 juin 2010 de la 1ère Cour de droit civil - (publié en partie à l’ATF 136 III 369), in: Reprax 1/2011 p. 56 seg.; Philippin , nota a sentenza in JdT 2010 p. 362; II CCA 25 agosto 2011 inc. n. 12.2011.133, 28 ottobre 2011 inc. n. 12.2011.142); che, per quanto riguarda le spese e le ripetibili, calcolate sulla base di un valore litigioso di fr. 100'000.-, pari al capitale nominale della società appellante (cfr. doc. A allegato all'istanza dell'AO 1; TF 22 giugno 2010 4A_106/2010 consid. 6, 8 luglio 2010 4A_278/2010 consid. 6, 19 agosto 2010 4A_315/2010 consid. 2; ZSR 2011 p. 86; II CCA 25 agosto 2011 inc. n. 12.2011.133, 28 ottobre 2011 inc. n. 12.2011.142; 29 gennaio 2015 inc. 12.2014.221), non vi è motivo di modificare il giudizio di prima sede, visto che il ripristino della situazione di legalità è avvenuto solo in appello; del resto l'appellante nulla ha indicato a proposito dei motivi che giustificherebbero di cambiare questo aspetto del giudizio di prima istanza, con cui il Pretore ha posto a suo carico la tassa di giustizia; che, per quanto attiene invece a questa sede, all’istante (rispettivamente al Cantone) non possono essere caricate le spese procedurali (art. 154 cpv. 3 2ª frase ORC; Lorandi , in: AJP 11/2008 p. 1388); inoltre, per quanto concerne la convenuta, qui appellante, essa è risultata, alla fin fine, vincente, ma avrebbe potuto risparmiare la presente procedura - come già quella dinnanzi al Pretore - se avesse ripristinato tempestivamente la situazione legale, anziché rimanere passiva di fronte alle ingiunzioni che aveva ricevuto, di modo che, in applicazione dell’art. 108 CPC, si giustifica di porre a suo carico le spese processuali di questa sede, dalla stessa inutilmente causate (cfr. per analogia TF 22 novembre 2012 4A_411/2012 consid. 3, 1° marzo 2013 4A_560/2012 consid. 4; II CCA 24 giugno 2013 inc. n. 12.2013.57, 28 giugno 2013 inc. n. 12.2013.62, 27 novembre 2013 inc. n. 12.2013.165, 19 dicembre 2014 inc. n. 12.2014.197); l'appellante, che al momento della presentazione dell’appello non aveva ancora provveduto al ripristino della situazione legale (la semplice dichiarazione di accettazione prodotta quale doc. 7 nulla potendo dimostrare in tal senso, essendo necessaria una decisione assembleare intervenuta solo il 20 luglio 2016, doc. 8), non indica peraltro i motivi per i quali la tassa di giustizia dovrebbe essere posta a carico dell’appellata e questa dovrebbe pure essere condannata al versamento di ripetibili, limitandosi a formulare una pretesa in tal senso solo con la domanda di appello, che su questo punto non può trovare accoglimento, l’appello potendo quindi, in definitiva, essere accolto solo parzialmente.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