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 vom 27. April 2016</w:t>
      </w:r>
    </w:p>
    <w:p>
      <w:r>
        <w:t>TI Tribunale d'appello, 2016-04-27, IT</w:t>
      </w:r>
    </w:p>
    <w:p>
      <w:r>
        <w:rPr>
          <w:b/>
        </w:rPr>
        <w:t xml:space="preserve">Quelle: </w:t>
      </w:r>
      <w:r>
        <w:t>https://mcp.opencaselaw.ch/entscheid/ti_gerichte_12.2016.15</w:t>
      </w:r>
    </w:p>
    <w:p>
      <w:r>
        <w:t>FR: TI_GERICHTE 12.2016.15 du 27 avril 2016</w:t>
      </w:r>
    </w:p>
    <w:p>
      <w:r>
        <w:t>IT: TI_GERICHTE 12.2016.15 del 27 aprile 2016</w:t>
      </w:r>
    </w:p>
    <w:p>
      <w:pPr>
        <w:pStyle w:val="Heading2"/>
      </w:pPr>
      <w:r>
        <w:t>Regeste</w:t>
      </w:r>
    </w:p>
    <w:p>
      <w:r>
        <w:t>Locazione - disdetta per mora - espulsione - contestazione dellla disdetta - occupazione dell'ente locato dopo la disdetta</w:t>
      </w:r>
    </w:p>
    <w:p>
      <w:pPr>
        <w:pStyle w:val="Heading2"/>
      </w:pPr>
      <w:r>
        <w:t>Erwägungen</w:t>
      </w:r>
    </w:p>
    <w:p>
      <w:r>
        <w:rPr>
          <w:b/>
        </w:rPr>
        <w:t>E. 14</w:t>
      </w:r>
    </w:p>
    <w:p>
      <w:r>
        <w:t>settembre 2015, cfr. doc. E): la censura, per altro fondata su un mezzo di prova - l’originale della diffida 28 agosto 2015 - già disponibile in prima sede ma versato agli atti solo in questa sede e con ciò irrito (art. 317 cpv. 1 CPC), dev’essere disattesa, la giurisprudenza (TF 4A_585/2010 2 febbraio 2011 consid. 3.5, 29 novembre 2011 4A_451/2011 consid. 4) avendo già avuto modo di stabilire che abusa senz’altro del suo diritto il conduttore che lamenta l’invio prematuro di una disdetta per mora, quando, come nel caso concreto, non ha comunque provveduto a pagare gli arretrati nel termine della (qui seconda) diffida scadente il 14 ottobre 2015 (il relativo pagamento è in effetti stato effettuato solo il 17 dicembre 2015, cfr. doc. 5) ed ha in definitiva ricevuto la (qui seconda) disdetta ben dopo la scadenza di quel termine (e meglio il 20 ottobre 2015 (cfr. doc. 9 e F); che la convenuta ribadisce poi che il fatto che essa avesse contestato le disdette innanzi all’Ufficio di conciliazione (doc. 6) ed avesse poi tempestivamente promosso le relative azioni di contestazione era tale da impedire l’emanazione di un giudizio di espulsione nell’ambito di una procedura ex art. 257 CPC: come già rilevato dal Pretore, la giurisprudenza (TF 8 luglio 2013 4A_265/2013 consid. 5) ha però già avuto modo di stabilire che la contestazione della disdetta innanzi all’Ufficio di conciliazione non esclude che il giudice possa accordare la tutela giurisdizionale dei casi manifesti nella procedura sommaria; che l’appello, laddove ha per oggetto la domanda di espulsione (dispositivi n. 1.1-1.4), deve pertanto essere respinto nella misura in cui è ricevibile; che la convenuta rimprovera infine al Pretore di averla condannata, a far tempo dal 1° dicembre 2015 e fino a completa liberazione dei locali, al pagamento di fr. 2'733.35 mensili a titolo di indennità per occupazione abusiva, senza tuttavia aver considerato che le pigioni dei mesi di dicembre 2015 e di gennaio 2016 erano già state correttamente depositate presso l’Ufficio di conciliazione e ai sensi dell’art. 259g CO dovevano essere considerate pagate: il rilievo è fondato, visto che la convenuta aveva allegato e dimostrato sia il deposito delle pigioni non ancora scadute (doc. 3 e 4), sia la richiesta di convocazione presso l’autorità di conciliazione (doc. 7), sia il precedente avviso in tal senso alla controparte (doc. 7); che, a prescindere da quanto precede, il giudizio con cui il Pretore aveva condannato la convenuta, dalla data di scadenza del termine di disdetta e fino alla completa liberazione dei locali, al pagamento di fr. 2'733.35 mensili a titolo di indennità per occupazione abusiva non avrebbe comunque potuto essere confermato: se in effetti è corretto che l’istante, per il periodo di tempo in cui l’ente locato viene utilizzato senza contratto, possa pretendere le pigioni mensili di fr. 2'333.35 dovute in precedenza ( Higi , Zürcher Kommentar, n. 58 ad art. 267 CO; Rep . 1998 p. 229; II CCA 4 marzo 1997 inc. n. 12.1996.207, 8 settembre 2000 inc. n. 12.2000.114), non è però corretto aggiungere incondizionatamente a questa somma - in modo tale da creare un titolo esecutivo per fr. 2'733.35 mensili - le spese accessorie mensili di fr. 400.-, che nel contratto (doc. C) non erano dovute in modo definitivo, ma invece andavano versate solo a titolo di acconti, e con ciò a titolo provvisorio, riservato poi il conguaglio al termine del relativo esercizio; si aggiunga, per completezza di motivazione, che la domanda di pagamento dell’indennità per occupazione abusiva era stata inserita nel petitum di causa senza aver fatto oggetto di alcuna allegazione; che l’appello, laddove ha per oggetto la domanda creditoria (dispositivo n. 1.5), deve pertanto essere accolto nel senso che la relativa richiesta deve essere dichiarata irricevibile (art. 257 cpv. 3 CPC); che in definitiva l’appello deve pertanto essere parzialmente accolto così come ai considerandi che precedono, ritenuto che le spese processuali e le ripetibili di entrambe le sedi, calcolate sulla base di un valore litigioso ampiamente superiore a fr. 15'000.-, seguono la soccombenza (art. 106 CPC); che il reclamo della convenuta, avente per oggetto il solo dispositivo pretorile in materia di spese e ripetibili, deve invece essere dichiarato irricevibile nella misura in cui non è divenuto privo d’oggetto a seguito del parziale accoglimento dell’appello; che in effetti, nel rimedio, come detto contenutisticamente identico all’appello (in tal senso reclamo p. 2), si cercherebbero invano argomentazioni volte a modificare il giudizio pretorile sulle spese e sulle ripetibili qualora il giudizio di merito fosse invece stato confermato integralmente, cosicché lo stesso sarebbe stato in ogni caso irricevibile già per carenza di motivazione (art. 321 cpv. 1 CPC); che le spese processuali della procedura di reclamo, calcolate su un valore litigioso di fr. 1'500.-, devono quindi essere poste a carico della convenuta (art. 107 cpv. 1 lett. e CPC), ritenuto che non si attribuiscono ripetibili alla controparte, alla quale il reclamo neppure era stato notificato per eventuali osservazioni. Per questi motivi, richiamati gli art. 106 seg. CPC e la LTG decide: I. L’appello 25 gennaio 2016 (inc. n. 12.2016.12) di RE 1 è parzialmente accolto . Di conseguenza la decisione 12 gennaio 2016 della Pretura della giurisdizione di Mendrisio sud, invariati gli altri dispositivi, è così riformata: 1. L’istanza 4 dicembre 2015 è parzialmente accolta. 1.1 (invariato) 1.2 (invariato) 1.3 (invariato) 1.4 (invariato) 1.5 La domanda dell’istante volta ad ottenere la condanna della convenuta al pagamento di un’indennità di fr. 2'733.35 mensili per l’occupazione dell’ente locato a far tempo dal mese di dicembre 2015 e sino a completa liberazione è irricevibile. 2. Le spese processuali di fr. 500.- sono poste a carico dell’istante per 1/5 e per 4/5 sono poste a carico della convenuta, che rifonderà all’istante  fr. 600.- a titolo di ripetibili parziali. II. Le spese processuali della procedura di appello di fr. 500.- sono a carico dell’appellante per 4/5 e per 1/5 sono poste a carico dell’appellata, alla quale l’appellante rifonderà fr. 600.- per ripetibili parziali. III. Il reclamo 25 gennaio 2016 (inc. n. 12.2016.15) di RE 1 è irricevibile nella misura in cui non è divenuto privo d’oggetto. IV. Le spese processuali della procedura di reclamo di fr. 100.- sono a carico della reclamante. Non si attribuiscono ripetibili. V. Notificazione: - - Comunicazione alla Pretura della giurisdizione di Mendrisio sud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