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12.2015.92 vom 28. Dezember 2015</w:t>
      </w:r>
    </w:p>
    <w:p>
      <w:r>
        <w:t>TI Tribunale d'appello, 2015-12-28, IT</w:t>
      </w:r>
    </w:p>
    <w:p>
      <w:r>
        <w:rPr>
          <w:b/>
        </w:rPr>
        <w:t xml:space="preserve">Quelle: </w:t>
      </w:r>
      <w:r>
        <w:t>https://mcp.opencaselaw.ch/entscheid/ti_gerichte_12.2015.92</w:t>
      </w:r>
    </w:p>
    <w:p>
      <w:r>
        <w:t>FR: TI_GERICHTE 12.2015.92 du 28 décembre 2015</w:t>
      </w:r>
    </w:p>
    <w:p>
      <w:r>
        <w:t>IT: TI_GERICHTE 12.2015.92 del 28 dicembre 2015</w:t>
      </w:r>
    </w:p>
    <w:p>
      <w:pPr>
        <w:pStyle w:val="Heading2"/>
      </w:pPr>
      <w:r>
        <w:t>Volltext</w:t>
      </w:r>
    </w:p>
    <w:p>
      <w:r>
        <w:t>Incarto n.12.2015.92</w:t>
      </w:r>
    </w:p>
    <w:p>
      <w:r>
        <w:t>Lugano</w:t>
      </w:r>
    </w:p>
    <w:p>
      <w:r>
        <w:t>28 dicembre 2015/jh</w:t>
      </w:r>
    </w:p>
    <w:p>
      <w:r>
        <w:t>In nomedella Repubblica e CantoneTicino</w:t>
      </w:r>
    </w:p>
    <w:p>
      <w:r>
        <w:t>La seconda Camera civile del Tribunale d'appello</w:t>
      </w:r>
    </w:p>
    <w:p>
      <w:r>
        <w:t>composta dei giudici:</w:t>
      </w:r>
    </w:p>
    <w:p>
      <w:r>
        <w:t>Fiscalini, presidente,</w:t>
      </w:r>
    </w:p>
    <w:p>
      <w:r>
        <w:t>Bozzini e Balerna</w:t>
      </w:r>
    </w:p>
    <w:p>
      <w:r>
        <w:t>vicecancelliera:</w:t>
      </w:r>
    </w:p>
    <w:p>
      <w:r>
        <w:t>Federspiel Peer</w:t>
      </w:r>
    </w:p>
    <w:p>
      <w:r>
        <w:t>sedente per statuire nella causa - inc. n.SE.2013.110della Pretura del Distretto di Bellinzona - promossa con petizione del 19 novembre 2013 da</w:t>
      </w:r>
    </w:p>
    <w:p>
      <w:r>
        <w:t>AP 1</w:t>
      </w:r>
    </w:p>
    <w:p>
      <w:r>
        <w:t>contro</w:t>
      </w:r>
    </w:p>
    <w:p>
      <w:r>
        <w:t>AO 1</w:t>
      </w:r>
    </w:p>
    <w:p>
      <w:r>
        <w:t>e considerato,</w:t>
      </w:r>
    </w:p>
    <w:p>
      <w:r>
        <w:t>in diritto:              1.Il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incidentale,inoltrati nel termine di 30 giorni impartito da questa Camera il 19 maggio 2015. Lappellante non ha presentato risposta allappello incidentale. Ciò posto, nulla osta alla trattazione dei gravami.</w:t>
      </w:r>
    </w:p>
    <w:p>
      <w:r>
        <w:t>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inc.4A_629/2009 del 10 agosto 2010, consid. 1.2.1).Nella fattispecie ilvalore di causa determinante ai fini di un eventuale ricorso in materia civile al Tribunale federale è fissato in fr. 23'458.50.</w:t>
      </w:r>
    </w:p>
    <w:p>
      <w:r>
        <w:t>Per i quali motivi,</w:t>
      </w:r>
    </w:p>
    <w:p>
      <w:r>
        <w:t>richiamati lart. 106 CPC, la LTG e il Rtar</w:t>
      </w:r>
    </w:p>
    <w:p>
      <w:r>
        <w:t>decide:</w:t>
      </w:r>
    </w:p>
    <w:p>
      <w:r>
        <w:t>II.Di conseguenza la decisione 16 aprile 2015 della Pretura del Distretto di Bellinzona, è così riformata:</w:t>
      </w:r>
    </w:p>
    <w:p>
      <w:r>
        <w:t>III.Lappello incidentale 16 giugno 2015 di AO 1è respinto.</w:t>
      </w:r>
    </w:p>
    <w:p>
      <w:r>
        <w:t>IV.Non si prelevano né tasse né spese dappello incidentale. AO 1 dappello incidentale.</w:t>
      </w:r>
    </w:p>
    <w:p>
      <w:r>
        <w:t>V.Notificazione:</w:t>
      </w:r>
    </w:p>
    <w:p>
      <w:r>
        <w:t>-</w:t>
      </w:r>
    </w:p>
    <w:p>
      <w:r>
        <w:t>-</w:t>
      </w:r>
    </w:p>
    <w:p>
      <w:r>
        <w:t>Per la seconda Camera civile del Tribunale dappello</w:t>
      </w:r>
    </w:p>
    <w:p>
      <w:r>
        <w:t>Il presidente                                                 La vicecancelliera</w:t>
      </w:r>
    </w:p>
    <w:p>
      <w:r>
        <w:t>Rimedi giuridici (pagina seguente)</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