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12.2015.27 vom 21. Juli 2016</w:t>
      </w:r>
    </w:p>
    <w:p>
      <w:r>
        <w:t>TI Tribunale d'appello, 2016-07-21, IT</w:t>
      </w:r>
    </w:p>
    <w:p>
      <w:r>
        <w:rPr>
          <w:b/>
        </w:rPr>
        <w:t xml:space="preserve">Quelle: </w:t>
      </w:r>
      <w:r>
        <w:t>https://mcp.opencaselaw.ch/entscheid/ti_gerichte_12.2015.27</w:t>
      </w:r>
    </w:p>
    <w:p>
      <w:r>
        <w:t>FR: TI_GERICHTE 12.2015.27 du 21 juillet 2016</w:t>
      </w:r>
    </w:p>
    <w:p>
      <w:r>
        <w:t>IT: TI_GERICHTE 12.2015.27 del 21 luglio 2016</w:t>
      </w:r>
    </w:p>
    <w:p>
      <w:pPr>
        <w:pStyle w:val="Heading2"/>
      </w:pPr>
      <w:r>
        <w:t>Regeste</w:t>
      </w:r>
    </w:p>
    <w:p>
      <w:r>
        <w:t>Compravendita internazionale: garanzia per difetti, tempestività della notifica</w:t>
      </w:r>
    </w:p>
    <w:p>
      <w:pPr>
        <w:pStyle w:val="Heading2"/>
      </w:pPr>
      <w:r>
        <w:t>Erwägungen</w:t>
      </w:r>
    </w:p>
    <w:p>
      <w:r>
        <w:rPr>
          <w:b/>
        </w:rPr>
        <w:t>E. 12</w:t>
      </w:r>
    </w:p>
    <w:p>
      <w:r>
        <w:t>Per i motivi che precedono l’appello incidentale è parzialmente accolto. Ciò comporta la modifica del dispositivo sulla ripartizione della tassa, delle spese e delle ripetibili della sentenza impugnata (148 CPC/TI). Tenuto conto della totale soccombenza dell’attrice riconvenzionale le stesse sono poste a suo carico, con l’obbligo di rifondere a controparte fr. 5'900.- a titolo di ripetibili. III.  Sulle spese giudiziarie</w:t>
      </w:r>
    </w:p>
    <w:p>
      <w:r>
        <w:rPr>
          <w:b/>
        </w:rPr>
        <w:t>E. 13</w:t>
      </w:r>
    </w:p>
    <w:p>
      <w:r>
        <w:t>In definitiva quindi l’appello 6 febbraio 2015, nella limitata misura in cui è ricevibile, è integralmente respinto, mentre l’appello incidentale 23 marzo 2015 è parzialmente accolto. Le spese processuali e le ripetibili di secondo grado, calcolate sulla base di un valore litigioso di € 44'738.41 (pari a fr. 71'581.45) per l’appello principale rispettivamente di € 2'686.- (pari a fr. 4'297.60) per l’appello incidentale, seguono la soccombenza (art. 106 CPC). Per questi motivi, richiamati per le spese gli art. 106 e 95 CPC, la LTG e il Regolamento sulle ripetibili, decide: I. L’appello 6 febbraio 2015 di AP 1 è respinto nella misura in cui è ricevibile . II. Gli oneri processuali di fr. 3'000.-, già anticipati, sono a carico dell’appellante, che rifonderà alla controparte fr. 3'000.- per ripetibili d’appello. III. L’appello incidentale 27 marzo 2015 di AO 1 è parzialmente accolto . Di conseguenza la sentenza 22 dicembre 2014 del Pretore di Lugano, sezione 2, invariati gli altri dispositivi, è così riformata: 3. La domanda riconvenzionale è respinta. 4. La tassa di giustizia dell’azione riconvenzionale in complessivi CHF 1'600.- e le spese in CHF 250.-, da anticipare come di rito, sono a carico della convenuta/attrice riconvenzionale. La convenuta/attrice riconvenzionale rifonderà alla controparte CHF 6’000.- per ripetibili. IV. Gli oneri processuali dell’appello incidentale di fr. 500.-, già anticipati, sono a carico di AO 1 nella misura di 1/3 e di AP 1 per 2/3. Quest’ultima rifonderà alla controparte fr. 500.- per ripetibili parziali. V.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