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12.2015.166 vom 5. August 2015</w:t>
      </w:r>
    </w:p>
    <w:p>
      <w:r>
        <w:t>TI Tribunale d'appello, 2015-08-05, IT</w:t>
      </w:r>
    </w:p>
    <w:p>
      <w:r>
        <w:rPr>
          <w:b/>
        </w:rPr>
        <w:t xml:space="preserve">Quelle: </w:t>
      </w:r>
      <w:r>
        <w:t>https://mcp.opencaselaw.ch/entscheid/ti_gerichte_12.2015.166_d20150805</w:t>
      </w:r>
    </w:p>
    <w:p>
      <w:r>
        <w:t>FR: TI_GERICHTE 12.2015.166 du 5 août 2015</w:t>
      </w:r>
    </w:p>
    <w:p>
      <w:r>
        <w:t>IT: TI_GERICHTE 12.2015.166 del 5 agosto 2015</w:t>
      </w:r>
    </w:p>
    <w:p>
      <w:pPr>
        <w:pStyle w:val="Heading2"/>
      </w:pPr>
      <w:r>
        <w:t>Regeste</w:t>
      </w:r>
    </w:p>
    <w:p>
      <w:r>
        <w:t>Eccezione di prescrizione - Fornitura di pittura e consulenza in relazione al suo utilizzo. Natura del contratto? In concreto, venuta in essere di un contratto di compravendita corredato da prestazioni accessorie di consulenza (non appalto, non mandato)</w:t>
      </w:r>
    </w:p>
    <w:p>
      <w:pPr>
        <w:pStyle w:val="Heading2"/>
      </w:pPr>
      <w:r>
        <w:t>Erwägungen</w:t>
      </w:r>
    </w:p>
    <w:p>
      <w:r>
        <w:rPr>
          <w:b/>
        </w:rPr>
        <w:t>E. 1</w:t>
      </w:r>
    </w:p>
    <w:p>
      <w:r>
        <w:t>Il 1° gennaio 2011 è entrato in vigore il nuovo Codice di diritto processuale civile svizzero (CPC; RS 272) che trova applicazione in entrambe le sedi, siccome la procedura dinanzi al Pretore è stata avviata dopo tale data (art. 404 e 405 CPC).</w:t>
      </w:r>
    </w:p>
    <w:p>
      <w:r>
        <w:rPr>
          <w:b/>
        </w:rPr>
        <w:t>E. 2</w:t>
      </w:r>
    </w:p>
    <w:p>
      <w:r>
        <w:t>Per quanto oggetto di appello, il Pretore, nella propria sentenza, ha ritenuto che il contratto venuto in essere tra le parti andasse qualificato di compravendita e non di appalto, come invece asserito dall’attrice, in quanto l’aspetto della fornitura del materiale ha rivestito un carattere predominate rispetto a quello del lavoro necessario per fabbricare la miscela utilizzata da AP 1. Il primo giudice ha inoltre stabilito che la consulenza fornita da AO 1 aveva rivestito unicamente carattere accessorio e aveva avuto quale fine quello di completare l’obbligazione principale permettendo all’acquirente di godere al meglio del bene acquistato. Il Pretore ha quindi ritenuto applicabile alla fattispecie il termine di prescrizione annuale previsto dall’art. 210 cpv. 1 vCO. Poiché dagli atti è emerso che la merce è stata venduta a AP 1 nel corso dell’estate del 2010 e che i difetti si sono presentati già all’inizio dell’autunno 2010, il magistrato ha giudicato che il</w:t>
      </w:r>
    </w:p>
    <w:p>
      <w:r>
        <w:rPr>
          <w:b/>
        </w:rPr>
        <w:t>E. 7</w:t>
      </w:r>
    </w:p>
    <w:p>
      <w:r>
        <w:t>Accertata, come illustrato sopra, l’applicabilità della prescrizione annuale di cui all’art. 210 vCO, ne consegue che il 7 settembre 2012, data dell’inoltro dell’istanza di conciliazione, l’azione in garanzia era da tempo inesorabilmente prescritta.</w:t>
      </w:r>
    </w:p>
    <w:p>
      <w:r>
        <w:rPr>
          <w:b/>
        </w:rPr>
        <w:t>E. 8</w:t>
      </w:r>
    </w:p>
    <w:p>
      <w:r>
        <w:t>In definitiva, l’appello, nella misura in cui ricevibile, deve essere respinto e la sentenza impugnata confermata. La tassa di giustizia, le spese e le ripetibili di appello seguono la soccombenza dell’appellante e sono commisurate al valore litigioso e alla circostanza che il giudizio è limitato alla questione della prescrizione. Il valore litigioso è di fr. 102'331.10. Per questi motivi, richiamati gli art. 96 e 106 CPC e la LTG, decide: 1. L ’ appello 15 settembre 2015 di AP 1, nella misura in cui ricevibile, è respinto. 2. Le spese d’appello di complessivi fr. 3’500.-, già anticipate dall’appellante, restano a suo carico, con obbligo di versare alla controparte fr. 3’000.- per ripetibili di appello. 3. Notificazione: - - Comunicazione alla Pretura del Distretto di Lugano, sezione 2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