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12.2014.215 vom 12. Februar 2015</w:t>
      </w:r>
    </w:p>
    <w:p>
      <w:r>
        <w:t>TI Tribunale d'appello, 2015-02-12, IT</w:t>
      </w:r>
    </w:p>
    <w:p>
      <w:r>
        <w:rPr>
          <w:b/>
        </w:rPr>
        <w:t xml:space="preserve">Quelle: </w:t>
      </w:r>
      <w:r>
        <w:t>https://mcp.opencaselaw.ch/entscheid/ti_gerichte_12.2014.215</w:t>
      </w:r>
    </w:p>
    <w:p>
      <w:r>
        <w:t>FR: TI_GERICHTE 12.2014.215 du 12 février 2015</w:t>
      </w:r>
    </w:p>
    <w:p>
      <w:r>
        <w:t>IT: TI_GERICHTE 12.2014.215 del 12 febbraio 2015</w:t>
      </w:r>
    </w:p>
    <w:p>
      <w:pPr>
        <w:pStyle w:val="Heading2"/>
      </w:pPr>
      <w:r>
        <w:t>Regeste</w:t>
      </w:r>
    </w:p>
    <w:p>
      <w:r>
        <w:t>Espulsione - occupazione provvisoria di un appartamento comune da parte di un coniuge durante la procedura di divorzio</w:t>
      </w:r>
    </w:p>
    <w:p>
      <w:pPr>
        <w:pStyle w:val="Heading2"/>
      </w:pPr>
      <w:r>
        <w:t>Erwägungen</w:t>
      </w:r>
    </w:p>
    <w:p>
      <w:r>
        <w:rPr>
          <w:b/>
        </w:rPr>
        <w:t>E. 1</w:t>
      </w:r>
    </w:p>
    <w:p>
      <w:r>
        <w:t>L’istanza di espulsione è irricevibile.</w:t>
      </w:r>
    </w:p>
    <w:p>
      <w:r>
        <w:rPr>
          <w:b/>
        </w:rPr>
        <w:t>E. 2</w:t>
      </w:r>
    </w:p>
    <w:p>
      <w:r>
        <w:t>La tassa di giustizia di fr. 500.- e le spese di fr. 100.-, da anticipare dagli istanti, restano a loro carico, con l’obbligo di rifondere al convenuto fr. 600.- a titolo di ripetibili. II. Gli oneri processuali della procedura d’appello di complessivi fr. 200.- sono a carico degli appellati, che rifonderanno all’appellante fr. 1’000.- per ripetibili. III. Notificazione: - - Comunicazione alla Pretura del Distretto di Lugano, sezione 4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