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12.2013.69 vom 14. März 2014</w:t>
      </w:r>
    </w:p>
    <w:p>
      <w:r>
        <w:t>TI Tribunale d'appello, 2014-03-14, IT</w:t>
      </w:r>
    </w:p>
    <w:p>
      <w:r>
        <w:rPr>
          <w:b/>
        </w:rPr>
        <w:t xml:space="preserve">Quelle: </w:t>
      </w:r>
      <w:r>
        <w:t>https://mcp.opencaselaw.ch/entscheid/ti_gerichte_12.2013.69</w:t>
      </w:r>
    </w:p>
    <w:p>
      <w:r>
        <w:t>FR: TI_GERICHTE 12.2013.69 du 14 mars 2014</w:t>
      </w:r>
    </w:p>
    <w:p>
      <w:r>
        <w:t>IT: TI_GERICHTE 12.2013.69 del 14 marzo 2014</w:t>
      </w:r>
    </w:p>
    <w:p>
      <w:pPr>
        <w:pStyle w:val="Heading2"/>
      </w:pPr>
      <w:r>
        <w:t>Regeste</w:t>
      </w:r>
    </w:p>
    <w:p>
      <w:r>
        <w:t>Ricusa giudice d'appello</w:t>
      </w:r>
    </w:p>
    <w:p>
      <w:pPr>
        <w:pStyle w:val="Heading2"/>
      </w:pPr>
      <w:r>
        <w:t>Erwägungen</w:t>
      </w:r>
    </w:p>
    <w:p>
      <w:r>
        <w:rPr>
          <w:b/>
        </w:rPr>
        <w:t>E. 14</w:t>
      </w:r>
    </w:p>
    <w:p>
      <w:r>
        <w:t>A prescindere dalla questione della tempestività, anche nel merito la domanda ai sensi dell'art. 47 cpv. 1 lett. b CPC è comunque da respingere. Neppure la ricusante è in sostanza stata in grado di indicare quali sarebbero le posizioni espresse dalla ricusata su determinati temi suscettibili di metterne oggettivamente in dubbio l’equanimità, tali da far apparire il risultato della causa già in qualche modo predeterminato. I rimproveri, addirittura irricevibili per carente motivazione (art. 311 CPC), non vanno oltre la soggettiva interpretazione del comportamento, privo di irregolarità, tenuto dalla giudice ricusata nell'ambito dell'istruzione della causa, senza che dalla situazione venutasi a creare o dal censurato comportamento emergano elementi atti a suscitare dubbi sull'imparzialità della giudice ricusata.</w:t>
      </w:r>
    </w:p>
    <w:p>
      <w:r>
        <w:rPr>
          <w:b/>
        </w:rPr>
        <w:t>E. 15</w:t>
      </w:r>
    </w:p>
    <w:p>
      <w:r>
        <w:t>In conclusione, tutte le argomentazioni si fondano unicamente su deduzioni e impressioni soggettive dell’istante, che non trovano riscontro in sufficienti elementi oggettivi che denotino violazioni gravi dei doveri della giudice ricusata o atteggiamenti di parzialità. L’istanza di ricusa, in quanto ricevibile, deve essere pertanto respinta.</w:t>
      </w:r>
    </w:p>
    <w:p>
      <w:r>
        <w:rPr>
          <w:b/>
        </w:rPr>
        <w:t>E. 16</w:t>
      </w:r>
    </w:p>
    <w:p>
      <w:r>
        <w:t>Sul piano federale contro l’odierna decisione è proponibile il ricorso in materia civile (art. 92 cpv. 1 LTF), trattandosi di ricusazione. Per questi motivi, richiamata la LTG, decide: 1. Nella misura in cui è ricevibile l’istanza di ricusa 20 aprile 2013 dell’IS 1 è respinta. 2. Le spese processuali in complessivi fr. 1'000.-, già anticipati dalla ricusante, restano a suo carico. Non si attribuiscono ripetibili. 3. Notificazione: - - Comunicazione all’avv., , Per la seconda Camera civile del Tribunale d’appello Il vicepresidente                                           Il vicecancelliere Rimedi giuridici Nelle cause senza carattere pecuniario è ammissibile, entro 30 giorni dalla notificazione, il ricorso in materia civile al Tribunale federale, 1000 Losanna 14, per i motivi previsti dagli art. 95 e 98 LTF (art. 72 LTF). Nelle cause a carattere pecuniario il ricorso in materia civile è ammissibile solo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La legittimazione a ricorrere è disciplinata dall’art. 76 LTF. Qualora non sia dato il ricorso in materia civile è possibile proporre, entro lo stesso termine, il ricorso sussidiario in materia costituzionale per i motivi previsti dall’art. 116 LTF (art. 113, 117 LTF). La legittimazione a ricorrere è disciplinata in tal caso dall’art. 115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