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12.2013.186 vom 13. Januar 2014</w:t>
      </w:r>
    </w:p>
    <w:p>
      <w:r>
        <w:t>TI Tribunale d'appello, 2014-01-13, IT</w:t>
      </w:r>
    </w:p>
    <w:p>
      <w:r>
        <w:rPr>
          <w:b/>
        </w:rPr>
        <w:t xml:space="preserve">Quelle: </w:t>
      </w:r>
      <w:r>
        <w:t>https://mcp.opencaselaw.ch/entscheid/ti_gerichte_12.2013.186</w:t>
      </w:r>
    </w:p>
    <w:p>
      <w:r>
        <w:t>FR: TI_GERICHTE 12.2013.186 du 13 janvier 2014</w:t>
      </w:r>
    </w:p>
    <w:p>
      <w:r>
        <w:t>IT: TI_GERICHTE 12.2013.186 del 13 gennaio 2014</w:t>
      </w:r>
    </w:p>
    <w:p>
      <w:pPr>
        <w:pStyle w:val="Heading2"/>
      </w:pPr>
      <w:r>
        <w:t>Regeste</w:t>
      </w:r>
    </w:p>
    <w:p>
      <w:r>
        <w:t>Esecutività di lodo arbitrale in arbitrato internazionale</w:t>
      </w:r>
    </w:p>
    <w:p>
      <w:pPr>
        <w:pStyle w:val="Heading2"/>
      </w:pPr>
      <w:r>
        <w:t>Erwägungen</w:t>
      </w:r>
    </w:p>
    <w:p>
      <w:r>
        <w:rPr>
          <w:b/>
        </w:rPr>
        <w:t>E. 5</w:t>
      </w:r>
    </w:p>
    <w:p>
      <w:r>
        <w:t>novembre 2013, fino alla decisione del Tribunale federale sulla seconda istanza; che nella fattispecie si applica la procedura sommaria giusta l’art. 248 lett. e CPC ( Sutter-Somm , Kommentar zur Schweizerischen ZPO, 2 a ed., n. 18 ad art. 386); che le parti hanno avuto ampie opportunità di esprimersi sull’istanza 5 novembre 2013; che è indubbia la qualità di lodo arbitrale finale della decisione 23 settembre 2013 e la sua spedizione alle parti, di modo che il lodo è definitivo (art. 190 cpv. 1 LDIP); che il ricorso in materia civile al Tribunale federale inibisce l’esecutività del lodo arbitrale solo se il Presidente della Corte conferisce effetto sospensivo al rimedio (Commentaire romand LDIP, n. 4 ad art. 193), ciò che non è stato il caso nella fattispecie; che la seconda domanda di concessione dell’effetto sospensivo, presentata il 19 dicembre 2013, non risulta essere stata accolta, per quanto noto a questa Camera; che non vi è pertanto motivo per negare il rilascio dell’attestato di esecutività, ritenuto che dovesse il Tribunale federale concedere effetto sospensivo al ricorso, lo stesso potrà essere revocato o modificato a istanza di parte (art. 256 cpv. 2 CPC); che le spese dell’attestazione di esecutività sono a carico della parte istante, conformemente all’art. 193 LDIP; che nella determinazione delle spese processuali si tiene conto  del valore della vertenza, di oltre due milioni di CHF e del tipo di procedura; che trattandosi di un provvedimento di volontaria giurisdizione si può prescindere dall’attribuzione di ripetibili; in applicazione dell’art. 193 cpv. 2 LDIP, attesta: 1. Il lodo arbitrale finale emanato il 23 settembre 2013 dall’arbitra unica avv. AR 1, nella procedura di arbitrato internazionale CCA n. 500022-2009 nella vertenza che oppone IS 1 a CO 1 e CO 2 è esecutivo. 2 .   Le spese processuali di complessivi fr. 300.- sono poste a carico dell’istante IS 1. Non si attribuiscono ripetibili. 3. Notificazione: - -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