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12.2013.170 vom 27. Januar 2014</w:t>
      </w:r>
    </w:p>
    <w:p>
      <w:r>
        <w:t>TI Tribunale d'appello, 2014-01-27, IT</w:t>
      </w:r>
    </w:p>
    <w:p>
      <w:r>
        <w:rPr>
          <w:b/>
        </w:rPr>
        <w:t xml:space="preserve">Quelle: </w:t>
      </w:r>
      <w:r>
        <w:t>https://mcp.opencaselaw.ch/entscheid/ti_gerichte_12.2013.170</w:t>
      </w:r>
    </w:p>
    <w:p>
      <w:r>
        <w:t>FR: TI_GERICHTE 12.2013.170 du 27 janvier 2014</w:t>
      </w:r>
    </w:p>
    <w:p>
      <w:r>
        <w:t>IT: TI_GERICHTE 12.2013.170 del 27 gennaio 2014</w:t>
      </w:r>
    </w:p>
    <w:p>
      <w:pPr>
        <w:pStyle w:val="Heading2"/>
      </w:pPr>
      <w:r>
        <w:t>Regeste</w:t>
      </w:r>
    </w:p>
    <w:p>
      <w:r>
        <w:t>Contratto di locazione commerciale, riduzione della pigione per difetti (infiltrazioni di acqua in un capannone)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spese giudiziarie seguono la soccombenza (art. 106 cpv. 1 CPC). In sede di appello esse sono determinate su di un valore litigioso di fr. 39'000.- (39 mesi x  fr.1’000.- di riduzione mensile contestata) come emerge dal calcolo indicato dal Pretore, non contestato dalle parti. La tassa di giustizia di appello è stabilita in base ai criteri degli art. 2, 7, 8 e 13 LTG (procedura semplificata, causa di locazione con valore superiore a fr. 30'000.-) e l’indennità ripetibile è stata calcolata seguendo i criteri indicati all’art. 11 del Regolamento sulla tariffa per i casi di patrocinio d’ufficio e di assistenza giudiziaria e per la fissazione delle ripetibili (Rtar).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