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12.2012.23 vom 21. Februar 2014</w:t>
      </w:r>
    </w:p>
    <w:p>
      <w:r>
        <w:t>TI Tribunale d'appello, 2014-02-21, IT</w:t>
      </w:r>
    </w:p>
    <w:p>
      <w:r>
        <w:rPr>
          <w:b/>
        </w:rPr>
        <w:t xml:space="preserve">Quelle: </w:t>
      </w:r>
      <w:r>
        <w:t>https://mcp.opencaselaw.ch/entscheid/ti_gerichte_12.2012.23</w:t>
      </w:r>
    </w:p>
    <w:p>
      <w:r>
        <w:t>FR: TI_GERICHTE 12.2012.23 du 21 février 2014</w:t>
      </w:r>
    </w:p>
    <w:p>
      <w:r>
        <w:t>IT: TI_GERICHTE 12.2012.23 del 21 febbraio 2014</w:t>
      </w:r>
    </w:p>
    <w:p>
      <w:pPr>
        <w:pStyle w:val="Heading2"/>
      </w:pPr>
      <w:r>
        <w:t>Regeste</w:t>
      </w:r>
    </w:p>
    <w:p>
      <w:r>
        <w:t>Mandato - risarcimento del danno</w:t>
      </w:r>
    </w:p>
    <w:p>
      <w:pPr>
        <w:pStyle w:val="Heading2"/>
      </w:pPr>
      <w:r>
        <w:t>Erwägungen</w:t>
      </w:r>
    </w:p>
    <w:p>
      <w:r>
        <w:rPr>
          <w:b/>
        </w:rPr>
        <w:t>E. 8</w:t>
      </w:r>
    </w:p>
    <w:p>
      <w:r>
        <w:t>Con l’ultima censura d’appello il convenuto ritiene in ogni caso insufficiente la somma posta a suo favore in prima sede a titolo di ripetibili parziali (fr. 12'000.-), auspicando l’attribuzione di un’indennità ripetibile di fr. 29'531.- o almeno fr. 17’411.-, da aumentarsi fino a fr. 45'000.- nel caso in cui il grado di soccombenza della controparte dovesse essere aumentato. La censura merita di essere accolta, almeno parzialmente. Per giurisprudenza invalsa, nella fissazione delle ripetibili il Pretore gode di un ampio potere di apprezzamento, censurabile in appello solo in caso di eccesso o di abuso, ciò che di regola non è se gli importi attribuiti rientrano tra i minimi ed i massimi della tariffa applicabile ( Cocchi/Trezzini , CPC-TI, m. 19 ad art. 150; II CCA 10 febbraio 2012 inc. n. 12.2011.47), che in concreto è la ora abrogata Tariffa dell’Ordine degli avvocati del Cantone Ticino (vTOA ; RL 3.2.1.1.2 ; cfr. la norma transitoria di cui all’art. 16 cpv. 2 del Regolamento sulla tariffa per i casi di patrocinio d’ufficio e di assistenza giudiziaria e per la fissazione delle ripetibili) . Ora, tenuto conto del valore litigioso accertato di oltre fr. 1'200'000.- (cfr. sentenza p. 21) e rammentato che in presenza di un tale valore gli art. 9 e 13 vTOA prevedevano un’aliquota dal 4% al 7%, il giudice di prime cure, stabilendo un’indennità per ripetibili parziali di fr. 12'000.- (corrispondente a 10/32 - e non a 21/32 come indicato nell’appello - di quella piena, ritenuto che l’attore era soccombente per 21/32 [8/32 per l’azione di rendiconto + 13/32 per l’azione creditoria] e il convenuto lo era per 11/32 [8/32 + 3/32] ) e con ciò un’indennità per ripetibili piena di fr. 38'400.-, pari cioè al 3.2%, è rimasto chiaramente al di sotto dei limiti della tariffa applicabile, per cui la somma da lui attribuita, censurata siccome insufficiente con il gravame, non può essere confermata (cfr. III CCA 14 febbraio 2011 inc. n. 13.2011.3; II CCA 6 maggio 2011 inc. n. 12.2011.78, 28 ottobre 2011 inc. n. 12.2011.137, 24 settembre 2012 inc. n. 12.2012.112, 14 maggio 2013 inc. n. 12.2012.181, 10 febbraio 2014 inc. n. 12.2012.162). La soluzione corretta, in presenza di una causa di difficoltà medio-bassa come quella in esame, è in definitiva quella di applicare un’aliquota di circa il 5%, ciò che implicherebbe l’assegnazione di un’indennità ripetibile piena di circa fr. 60'000.-, che in virtù del rispettivo grado di soccombenza (ora corrispondente a circa il 14/32 di quella piena, ritenuto che l’attore è risultato soccombente per 23/32 [8/32 per l’azione di rendiconto + 15/32 per l’azione creditoria] e il convenuto lo è per 9/32 [8/32 + 1/32] ) comporta l’attribuzione di un’indennità per ripetibili parziali di circa fr. 26'000.-. Poco importa, al proposito, se all’inizio della causa l’attore era stato obbligato a fornire una cauzione per le ripetibili di fr. 45'000.- (cfr. decreto 9 maggio 2003).</w:t>
      </w:r>
    </w:p>
    <w:p>
      <w:r>
        <w:rPr>
          <w:b/>
        </w:rPr>
        <w:t>E. 9</w:t>
      </w:r>
    </w:p>
    <w:p>
      <w:r>
        <w:t>Irricevibile è infine la richiesta del convenuto di completare la sentenza pretorile nel senso che la cauzione processuale di fr. 45'000.- versata dalla controparte in prima sede o quanto meno la somma corrispondente alle ripetibili sopra riconosciute venga già sin d’ora liberata a suo favore. Nel gravame il convenuto non ha in effetti speso alcuna parola a sostegno di questa sua richiesta, che è di fatto rimasta priva di motivazione (art. 311 cpv. 1 CPC). La domanda è oltretutto inutile e con ciò nuovamente irrita, visto e considerato che il Pretore nei considerandi della sua decisione aveva già precisato che la liberazione della cauzione sarebbe stata da lui disposta non appena cresciuta in giudicato la sua sentenza (sentenza p. 21).</w:t>
      </w:r>
    </w:p>
    <w:p>
      <w:r>
        <w:rPr>
          <w:b/>
        </w:rPr>
        <w:t>E. 10</w:t>
      </w:r>
    </w:p>
    <w:p>
      <w:r>
        <w:t>Ne discende che l’appello può essere parzialmente accolto nel senso che il credito a favore dell’attore deve essere ridotto a US$ 33'058.65 e che l’indennità per ripetibili attribuita a favore del convenuto può essere lievemente aumentata. Gli oneri processuali della procedura d’appello, calcolati sulla base di un valore litigioso di US$ 88'000.-, seguono la rispettiva soccombenza delle parti (art. 106 CPC), che è di 2/5 per il convenuto e di 3/5 per l’attore. Quanto alle ripetibili, si osserva che al convenuto, vincente in questa sede in misura limitata, può essere assegnata un’indennità per ripetibili ridotta (II CCA 16 febbraio 2011 inc. n. 12.2009.63, 28 ottobre 2011 inc. n. 12.2011.137, 10 febbraio 2014 inc. n. 12.2012.162; in merito all’obbligo di versare ripetibili a carico della parte, come qui l’attore, che non ha inoltrato osservazioni ad un gravame vincente, cfr. TF 26 settembre 2006 4C.88/2006 consid. 8) . Per i quali motivi, richiamati l’art. 106 CPC e la LTG decide: I. L’appello 7 febbraio 2012 di AP 1 è parzialmente accolto . Di conseguenza la sentenza 9 gennaio 2012 della Pretura della giurisdizione di Mendrisio sud è così riformata: 1. La petizione è parzialmente accolta. 1.1. Di conseguenza AP 1 è condannato al pagamento di US$ 33'058.65 in favore di AO 1. 2. La tassa di giustizia, in fr. 17’000.-, e le spese, da anticipare come di rito, vengono poste a carico dell’attore in ragione di 23/32 e per i restanti 9/32 a carico del convenuto, al quale l’attore rifonderà l’importo di fr. 26’000.- a titolo di ripetibili parziali complessive. II. Gli oneri processuali di fr. 3’000.- sono posti a carico dell’appellante per 2/5 e per 3/5 sono posti a carico dell’appellato, il quale verserà all’appellante fr. 1’500.- per ripetibili. III. Notificazione: - - Comunicazione alla Pretura della giurisdizione di Mendrisio sud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