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12.2012.162 vom 10. Februar 2014</w:t>
      </w:r>
    </w:p>
    <w:p>
      <w:r>
        <w:t>TI Tribunale d'appello, 2014-02-10, IT</w:t>
      </w:r>
    </w:p>
    <w:p>
      <w:r>
        <w:rPr>
          <w:b/>
        </w:rPr>
        <w:t xml:space="preserve">Quelle: </w:t>
      </w:r>
      <w:r>
        <w:t>https://mcp.opencaselaw.ch/entscheid/ti_gerichte_12.2012.162</w:t>
      </w:r>
    </w:p>
    <w:p>
      <w:r>
        <w:t>FR: TI_GERICHTE 12.2012.162 du 10 février 2014</w:t>
      </w:r>
    </w:p>
    <w:p>
      <w:r>
        <w:t>IT: TI_GERICHTE 12.2012.162 del 10 febbraio 2014</w:t>
      </w:r>
    </w:p>
    <w:p>
      <w:pPr>
        <w:pStyle w:val="Heading2"/>
      </w:pPr>
      <w:r>
        <w:t>Regeste</w:t>
      </w:r>
    </w:p>
    <w:p>
      <w:r>
        <w:t>Architetto - responsabilità del direttore dei lavori</w:t>
      </w:r>
    </w:p>
    <w:p>
      <w:pPr>
        <w:pStyle w:val="Heading2"/>
      </w:pPr>
      <w:r>
        <w:t>Erwägungen</w:t>
      </w:r>
    </w:p>
    <w:p>
      <w:r>
        <w:rPr>
          <w:b/>
        </w:rPr>
        <w:t>E. 10</w:t>
      </w:r>
    </w:p>
    <w:p>
      <w:r>
        <w:t>Ne discende che l’appello può essere parzialmente accolto nel senso che la convenuta non è tenuta a risarcire all’attore i fr. 20'000.- per avergli consigliato di non accettare la proposta transattiva dell’Impresa B__________ __________ e che l’indennità per ripetibili (ridotta) attribuita a suo favore deve essere aumentata. Gli oneri processuali della procedura d’appello, calcolati sulla base di un valore litigioso di fr. 56'479.45, seguono la rispettiva soccombenza delle parti (art. 106 CPC). Quanto alle ripetibili per il procedimento di secondo grado, si osserva che alla convenuta, vincente in questa sede solo in misura limitata, può essere assegnata un’indennità per ripetibili ridotta (II CCA 16 febbraio 2011 inc. n. 12.2009.63, 28 ottobre 2011 inc. n. 12.2011.137; in merito all’obbligo di versare ripetibili a carico della parte che non ha inoltrato osservazioni ad un gravame vincente, cfr. TF 26 settembre 2006 4C.88/2006 consid. 8) . Per i quali motivi, richiamati l’art. 106 CPC e la LTG decide: I. L’appello</w:t>
      </w:r>
    </w:p>
    <w:p>
      <w:r>
        <w:rPr>
          <w:b/>
        </w:rPr>
        <w:t>E. 14</w:t>
      </w:r>
    </w:p>
    <w:p>
      <w:r>
        <w:t>settembre 2012 di AP 1 è parzialmente accolto . Di conseguenza la sentenza 30 luglio 2012 della Pretura del Distretto di Leventina è così riformata: 1. La petizione è parzialmente accolta. Di conseguenza AP 1, __________, è condannata a versare a AO 1, __________, l’importo di fr. 36'479.45 oltre interessi al 5% dal 1° febbraio 2003. 2. La tassa di giustizia di fr. 5’000.- e le spese di fr. 1'600.- sono poste a carico della convenuta per 1/6 e per 5/6 sono poste a carico dell’attore, il quale rifonderà alla convenuta l’importo di fr. 7'500.- a titolo di ripetibili. II. Gli oneri processuali di complessivi fr. 1’500.- sono posti a carico dell’appellante per 2/3 e per 1/3 sono posti a carico dell’appellato, il quale verserà all’appellante fr. 600.- per ripetibili. III. Notificazione: - - Comunicazione alla Pretura del Distretto di Leventina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