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12.2012.140 vom 15. Oktober 2012</w:t>
      </w:r>
    </w:p>
    <w:p>
      <w:r>
        <w:t>TI Tribunale d'appello, 2012-10-15, IT</w:t>
      </w:r>
    </w:p>
    <w:p>
      <w:r>
        <w:rPr>
          <w:b/>
        </w:rPr>
        <w:t xml:space="preserve">Quelle: </w:t>
      </w:r>
      <w:r>
        <w:t>https://mcp.opencaselaw.ch/entscheid/ti_gerichte_12.2012.140</w:t>
      </w:r>
    </w:p>
    <w:p>
      <w:r>
        <w:t>FR: TI_GERICHTE 12.2012.140 du 15 octobre 2012</w:t>
      </w:r>
    </w:p>
    <w:p>
      <w:r>
        <w:t>IT: TI_GERICHTE 12.2012.140 del 15 ottobre 2012</w:t>
      </w:r>
    </w:p>
    <w:p>
      <w:pPr>
        <w:pStyle w:val="Heading2"/>
      </w:pPr>
      <w:r>
        <w:t>Regeste</w:t>
      </w:r>
    </w:p>
    <w:p>
      <w:r>
        <w:t>Tutela giurisdizionale dei casi manifesti, espulsione da stabile dopo mancata riconsegna a fine locazione (disdetta per mora nel pagamento delle spese accessorie non contestata), misure esecutive</w:t>
      </w:r>
    </w:p>
    <w:p>
      <w:pPr>
        <w:pStyle w:val="Heading2"/>
      </w:pPr>
      <w:r>
        <w:t>Erwägungen</w:t>
      </w:r>
    </w:p>
    <w:p>
      <w:r>
        <w:rPr>
          <w:b/>
        </w:rPr>
        <w:t>E. 1</w:t>
      </w:r>
    </w:p>
    <w:p>
      <w:r>
        <w:t>L’istanza di espulsione 27 giugno 2012 è accolta.</w:t>
      </w:r>
    </w:p>
    <w:p>
      <w:r>
        <w:rPr>
          <w:b/>
        </w:rPr>
        <w:t>E. 2</w:t>
      </w:r>
    </w:p>
    <w:p>
      <w:r>
        <w:t>Viene ordinato a AO 1 di riconsegnare agli istanti, entro dieci giorni dalla notificazione della decisione di espulsione, l’ente locato con contratto 29 gennaio 1994 al pianterreno dello stabile denominato (__________ __________) situato in via __________ __________ a __________, perfettamente sgombero.</w:t>
      </w:r>
    </w:p>
    <w:p>
      <w:r>
        <w:rPr>
          <w:b/>
        </w:rPr>
        <w:t>E. 3</w:t>
      </w:r>
    </w:p>
    <w:p>
      <w:r>
        <w:t>Al convenuto è comminata, per il caso di disobbedienza alla decisione di espulsione, l’azione penale prevista dall’art. 292 CP, che prevede la pena della multa.</w:t>
      </w:r>
    </w:p>
    <w:p>
      <w:r>
        <w:rPr>
          <w:b/>
        </w:rPr>
        <w:t>E. 4</w:t>
      </w:r>
    </w:p>
    <w:p>
      <w:r>
        <w:t>Viene fatto ordine alla polizia comunale di Lugano, in via sussidiaria alla polizia cantonale, di collaborare per l’esecuzione della decisione di espulsione a semplice richiesta degli istanti. Qualora il convenuto non dovesse ottemperare alla presente decisione, la polizia comunale provvederà a far depositare in luogo da essa ritenuto appropriato e per un determinato periodo di tempo da essa fissato le cose mobili presenti nell’ente locato. La polizia comunale avviserà il convenuto dell’eventualità che se questi non dovesse ritirare entro il termine stabilito le cose mobili depositate si provvederà alla loro vendita all’asta, il cui ricavato andrà anzitutto a coprire le relative misure di esecuzione, oppure, nel caso fossero senza alcun valore commerciale, alla loro distruzione. I costi della misura coercitiva in questione sono anticipati dagli istanti in solido.</w:t>
      </w:r>
    </w:p>
    <w:p>
      <w:r>
        <w:rPr>
          <w:b/>
        </w:rPr>
        <w:t>E. 5</w:t>
      </w:r>
    </w:p>
    <w:p>
      <w:r>
        <w:t>La presente decisione di espulsione è immediatamente esecutiva.</w:t>
      </w:r>
    </w:p>
    <w:p>
      <w:r>
        <w:rPr>
          <w:b/>
        </w:rPr>
        <w:t>E. 6</w:t>
      </w:r>
    </w:p>
    <w:p>
      <w:r>
        <w:t>La tassa di giustizia e le spese di complessivi fr. 100.-, da anticipare dalla parte istante, sono posti a carico del convenuto, con l’obbligo di rifondere agli istanti complessivi fr. 100.- a titolo di ripetibili. II. Le spese processuali di fr. 100.- sono poste a carico di AO 1, con l’obbligo di rifondere a AP 1 e AP 2 complessivi fr. 900.- a titolo di ripetibili di appello. III. Notificazione: –    ; –   . Comunicazione alla Pretura del Distretto di Lugano, sezione 4. Per la seconda Camera civile del Tribunale d’appello La presidente                                            La vicecancelliera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