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12.2012.130 vom 9. April 2013</w:t>
      </w:r>
    </w:p>
    <w:p>
      <w:r>
        <w:t>TI Tribunale d'appello, 2013-04-09, IT</w:t>
      </w:r>
    </w:p>
    <w:p>
      <w:r>
        <w:rPr>
          <w:b/>
        </w:rPr>
        <w:t xml:space="preserve">Quelle: </w:t>
      </w:r>
      <w:r>
        <w:t>https://mcp.opencaselaw.ch/entscheid/ti_gerichte_12.2012.130</w:t>
      </w:r>
    </w:p>
    <w:p>
      <w:r>
        <w:t>FR: TI_GERICHTE 12.2012.130 du 9 avril 2013</w:t>
      </w:r>
    </w:p>
    <w:p>
      <w:r>
        <w:t>IT: TI_GERICHTE 12.2012.130 del 9 aprile 2013</w:t>
      </w:r>
    </w:p>
    <w:p>
      <w:pPr>
        <w:pStyle w:val="Heading2"/>
      </w:pPr>
      <w:r>
        <w:t>Regeste</w:t>
      </w:r>
    </w:p>
    <w:p>
      <w:r>
        <w:t>Transazione giudiziaria - contestazione - azione di inesistenza del debito</w:t>
      </w:r>
    </w:p>
    <w:p>
      <w:pPr>
        <w:pStyle w:val="Heading2"/>
      </w:pPr>
      <w:r>
        <w:t>Erwägungen</w:t>
      </w:r>
    </w:p>
    <w:p>
      <w:r>
        <w:rPr>
          <w:b/>
        </w:rPr>
        <w:t>E. 9</w:t>
      </w:r>
    </w:p>
    <w:p>
      <w:r>
        <w:t>Ma quand’anche si volesse ammettere, per ipotesi, la facoltà per l’attrice di far valere gli asseriti vizi di volontà nei confronti della transazione giudiziaria nell’ambito di una causa ex art. 85a LEF, come da lei preteso nell’appello, la sua posizione non sarebbe comunque migliore. In effetti, in questa sede, venendo meno al suo onere di allegazione e motivazione (art. 311 cpv. 1 CPC), essa non ha assolutamente illustrato le circostanze alla base dell’errore essenziale o del dolo, e neppure ha spiegato le ragioni per cui le stesse sarebbero state molto verosimilmente fondate in fatto e in diritto, questioni queste in merito alle quali l’appello (e, prima di lui, la decisione impugnata) era del tutto silente; e neppure risulta poi che essa abbia rinviato sul tema ai suoi precedenti allegati, ciò che per altro non sarebbe stato sufficiente allo scopo, la giurisprudenza avendo già avuto modo di stabilire che il rinvio a precedenti allegati non costituisce una valida motivazione dell’appello (DTF 138 III 374 consid. 4.3.1; TF 7 dicembre 2011 4A_659/2011 consid. 3, 27 settembre 2012 4A_252/2012 consid. 9.2.1; II CCA 17 luglio 2012 inc. n. 12.2011.160, 31 ottobre 2012 inc. n. 12.2012.51, 13 novembre 2012 inc. n. 12.2012.50, 11 marzo 2013 inc. n. 12.2011.101). Tutto ciò ha di fatto impedito alla scrivente Camera di poter, se del caso, esaminare e poi accertare l’eventuale fondatezza della sua azione, come invece chiesto nell’appello.</w:t>
      </w:r>
    </w:p>
    <w:p>
      <w:r>
        <w:rPr>
          <w:b/>
        </w:rPr>
        <w:t>E. 10</w:t>
      </w:r>
    </w:p>
    <w:p>
      <w:r>
        <w:t>In tali circostanze, non essendo possibile ammettere in questa sede che la domanda di accertamento dell’inesistenza del debito, così com’è stata motivata, sia molto verosimilmente fondata, il giudizio con cui il Pretore ha respinto la richiesta dell’attrice volta ad ottenere la sospensione provvisoria dell’esecuzione può essere confermato, con la conseguente reiezione dell’appello nella misura in cui è ricevibile. Gli oneri processuali e le ripetibili della procedura di secondo grado, calcolati sulla base di un valore litigioso di fr. 350'000.-, seguono la soccombenza (art. 106 CPC). Per i quali motivi, richiamati gli art. 106 CPC e la TG decide 1. L’appello 16 luglio 2012 di AP 1 è respinto nella misura in cui è ricevibile. 2. Gli oneri processuali di complessivi fr. 2’500.- sono a carico dell’appellante, che rifonderà alla parte appellata fr. 3’000.- per ripetibili. 3. Notificazione: - - Comunicazione alla Pretura della giurisdizione di Mendrisio sud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