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12.2011.30 vom 24. Mai 2011</w:t>
      </w:r>
    </w:p>
    <w:p>
      <w:r>
        <w:t>TI Tribunale d'appello, 2011-05-24, IT</w:t>
      </w:r>
    </w:p>
    <w:p>
      <w:r>
        <w:rPr>
          <w:b/>
        </w:rPr>
        <w:t xml:space="preserve">Quelle: </w:t>
      </w:r>
      <w:r>
        <w:t>https://mcp.opencaselaw.ch/entscheid/ti_gerichte_12.2011.30</w:t>
      </w:r>
    </w:p>
    <w:p>
      <w:r>
        <w:t>FR: TI_GERICHTE 12.2011.30 du 24 mai 2011</w:t>
      </w:r>
    </w:p>
    <w:p>
      <w:r>
        <w:t>IT: TI_GERICHTE 12.2011.30 del 24 maggio 2011</w:t>
      </w:r>
    </w:p>
    <w:p>
      <w:pPr>
        <w:pStyle w:val="Heading2"/>
      </w:pPr>
      <w:r>
        <w:t>Regeste</w:t>
      </w:r>
    </w:p>
    <w:p>
      <w:r>
        <w:t>Ricorso in materia di registro di commercio, tassa di iscrizione a registro di commercio, responsabilità solidale del notaio, onere della prova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ammette, “ per prassi ” non è stata allestita la – pur semplice e che non richiede un impegno o un dispendio particolari – ricevuta di deposito né è dato di sapere se il “ Come d’abitudine ” si riferisca al notaio interessato o sia piuttosto semplicemente da interpretare nel senso di uso in genere; che non sopperiscono al difetto di una prova concludente riguardo alla consegna dell’istanza nel modo sostenuto CO 1 sia il fatto che essa rechi, analogamente al doc. D e alla prima pagina del ricorso, la sigla di riferimento del notaio “__________ /lf/rog. __________ ”, rispettivamente “__________ /lf ”, e che fosse finanche stata da lui redatta, sia che all’udienza avanti il Giudice di Pace egli si era limitato a sostenere di non avere ricevuto la bolletta, essendo le modalità di deposito dell’istanza del tutto irrilevanti ai fini del giudizio nella procedura di rigetto dell’opposizione; che, fatte queste premesse, il ricorso merita tutela, ritenuto che la tassa di giustizia e le spese, calcolate su un valore litigioso di fr. 430.–, sono poste a carico dello Stato (art. 14 OTCR); che per le ripetibili fa stato l’art. 13 cpv. 1 del relativo Regolamento, che permette di derogare all’art. 11 nel caso di manifesta sproporzione tra il valore litigioso o le prestazioni eseguite e l’onorario in base alla tariffa e nel caso in cui le particolarità del caso o gli interessi delle parti in causa lo giustifichino; per questi motivi, richiamati i disposti di legge citati, decide: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