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12.2011.198 vom 30. April 2013</w:t>
      </w:r>
    </w:p>
    <w:p>
      <w:r>
        <w:t>TI Tribunale d'appello, 2013-04-30, IT</w:t>
      </w:r>
    </w:p>
    <w:p>
      <w:r>
        <w:rPr>
          <w:b/>
        </w:rPr>
        <w:t xml:space="preserve">Quelle: </w:t>
      </w:r>
      <w:r>
        <w:t>https://mcp.opencaselaw.ch/entscheid/ti_gerichte_12.2011.198</w:t>
      </w:r>
    </w:p>
    <w:p>
      <w:r>
        <w:t>FR: TI_GERICHTE 12.2011.198 du 30 avril 2013</w:t>
      </w:r>
    </w:p>
    <w:p>
      <w:r>
        <w:t>IT: TI_GERICHTE 12.2011.198 del 30 aprile 2013</w:t>
      </w:r>
    </w:p>
    <w:p>
      <w:pPr>
        <w:pStyle w:val="Heading2"/>
      </w:pPr>
      <w:r>
        <w:t>Regeste</w:t>
      </w:r>
    </w:p>
    <w:p>
      <w:r>
        <w:t>Compensazione - deposito al sequestratario</w:t>
      </w:r>
    </w:p>
    <w:p>
      <w:pPr>
        <w:pStyle w:val="Heading2"/>
      </w:pPr>
      <w:r>
        <w:t>Erwägungen</w:t>
      </w:r>
    </w:p>
    <w:p>
      <w:r>
        <w:rPr>
          <w:b/>
        </w:rPr>
        <w:t>E. 8</w:t>
      </w:r>
    </w:p>
    <w:p>
      <w:r>
        <w:t>Gli appellanti sostengono poi, con riferimento alla cessione del credito della massa fallimentare a T__________, che l’attrice, pagando fr. 13'000.- non avrebbe acquisito un credito ma semplicemente estinto un debito. Questo argomento è difficilmente comprensibile. Premesso che il cessionario di un credito ai sensi dell’art. 260 LEF può concludere transazioni giudiziali o extragiudiziali (DTF 102 III 29), come ricordato dal primo giudice (consid. 8.2), basterà qui riprendere quanto indicato dall’attrice nella risposta all’appello, ossia che se ella non recuperasse l’importo di fr. 20'000.- si troverebbe a pagare due volte il credito fatto valere (in origine) dalla D__________.</w:t>
      </w:r>
    </w:p>
    <w:p>
      <w:r>
        <w:rPr>
          <w:b/>
        </w:rPr>
        <w:t>E. 9</w:t>
      </w:r>
    </w:p>
    <w:p>
      <w:r>
        <w:t>Da ultimo gli appellanti rimproverano al Pretore di non aver considerato che gli allora coniugi L__________ non avevano mai fornito all’avv. __________, in qualità di sequestratario ai sensi dell’art. 480 CO, e/o all’UF la documentazione a comprova della loro rivendicazione. L’argomentazione è pretestuosa già per il fatto che gli appellanti omettono di considerare quanto esposto dal primo giudice al considerando 8.3 del suo giudizio, in particolare che gli interessati avevano espresso al sequestratario il loro consenso alla restituzione dell’importo a suo tempo depositato in relazione al contratto di compravendita __________ - coniugi L__________, essendo state risolte per accordo le pretese a suo tempo sollevate dalla venditrice nei confronti dei compratori. Alla luce dei doc. D e E non si comprende pertanto quali obblighi di tutela incombevano al sequestratario, come erroneamente sostenuto nell’atto di appello.</w:t>
      </w:r>
    </w:p>
    <w:p>
      <w:r>
        <w:rPr>
          <w:b/>
        </w:rPr>
        <w:t>E. 10</w:t>
      </w:r>
    </w:p>
    <w:p>
      <w:r>
        <w:t>In virtù di quanto precede l’appello, nella misura in cui è ricevibile, dev’essere respinto siccome manifestamente infondato, con conseguente conferma del giudizio impugnato. Le spese processuali e le ripetibili, calcolate sul valore litigioso di fr. 20'000.-, importo determinante anche ai fini di un eventuale ricorso al Tribunale federale, seguono la soccombenza degli appellanti. Per questi motivi, richiamati gli art. 95, 96 e 106 CPC, la LTG e il Regolamento sulle ripetibili decide: I. L’appello 2 novembre 2011 di AP 1, AP 2 e AP 3, eredi dell’avv. __________, è respinto nella misura in cui è ricevibile. II. Le spese processuali dell’appello, di complessivi fr. 1’200.-, anticipate dagli appellanti, restano a loro carico con l’obbligo di rifondere a __________ K__________, con il vincolo della solidarietà, fr. 2'000.- a titolo di ripetibili di appello. III .   Notificazione: - - Comunicazione alla Pretura del Distretto di Lugano, sezione 2 Per la seconda Camera civile del Tribunale d’appello La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