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12.2010.76 vom 7. Mai 2010</w:t>
      </w:r>
    </w:p>
    <w:p>
      <w:r>
        <w:t>TI Tribunale d'appello, 2010-05-07, IT</w:t>
      </w:r>
    </w:p>
    <w:p>
      <w:r>
        <w:rPr>
          <w:b/>
        </w:rPr>
        <w:t xml:space="preserve">Quelle: </w:t>
      </w:r>
      <w:r>
        <w:t>https://mcp.opencaselaw.ch/entscheid/ti_gerichte_12.2010.76</w:t>
      </w:r>
    </w:p>
    <w:p>
      <w:r>
        <w:t>FR: TI_GERICHTE 12.2010.76 du 7 mai 2010</w:t>
      </w:r>
    </w:p>
    <w:p>
      <w:r>
        <w:t>IT: TI_GERICHTE 12.2010.76 del 7 maggio 2010</w:t>
      </w:r>
    </w:p>
    <w:p>
      <w:pPr>
        <w:pStyle w:val="Heading2"/>
      </w:pPr>
      <w:r>
        <w:t>Regeste</w:t>
      </w:r>
    </w:p>
    <w:p>
      <w:r>
        <w:t>Sublocazione - contestazione disdetta - sfratto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maggio 2010 /fb In nome della Repubblica e Cantone Ticino La seconda Camera civile del Tribunale d'appello composta dei giudici: Epiney-Colombo, presidente, Walser e Lardelli segretario: Bettelini, vicecancelliere sedente per statuire nella causa inc. n. DI.2010.51 della Pretura del Distretto di Bellinzona promossa con istanza di sfratto 10 febbraio 2010 da AO 1 rappr. dall' RA 1, contro AP 1, sulla quale il Pretore si è pronunciato con sentenza 30 marzo 2010 accogliendo l'istanza di sfratto; appellante AP 1 la quale, con appello 12 aprile 2010, chiede che, previa concessione dell'effetto sospensivo all'appello, la sentenza impugnata sia riformata nel senso di respingere l'istanza di sfratto, con protesta di spese e ripetibili di entrambe le sedi; mentre AO 1, invitata a presentare osservazioni solo limitatamente alla domanda di concessione dell'effetto sospensivo, vi si è opposta; letti ed esaminati gli atti ed i documenti prodotti considerato in fatto e in diritto: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