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12.2009.103 vom 20. November 2009</w:t>
      </w:r>
    </w:p>
    <w:p>
      <w:r>
        <w:t>TI Tribunale d'appello, 2009-11-20, IT</w:t>
      </w:r>
    </w:p>
    <w:p>
      <w:r>
        <w:rPr>
          <w:b/>
        </w:rPr>
        <w:t xml:space="preserve">Quelle: </w:t>
      </w:r>
      <w:r>
        <w:t>https://mcp.opencaselaw.ch/entscheid/ti_gerichte_12.2009.103</w:t>
      </w:r>
    </w:p>
    <w:p>
      <w:r>
        <w:t>FR: TI_GERICHTE 12.2009.103 du 20 novembre 2009</w:t>
      </w:r>
    </w:p>
    <w:p>
      <w:r>
        <w:t>IT: TI_GERICHTE 12.2009.103 del 20 novembre 2009</w:t>
      </w:r>
    </w:p>
    <w:p>
      <w:pPr>
        <w:pStyle w:val="Heading2"/>
      </w:pPr>
      <w:r>
        <w:t>Regeste</w:t>
      </w:r>
    </w:p>
    <w:p>
      <w:r>
        <w:t>Reiscrizione di società anonima cancellata da RC</w:t>
      </w:r>
    </w:p>
    <w:p>
      <w:pPr>
        <w:pStyle w:val="Heading2"/>
      </w:pPr>
      <w:r>
        <w:t>Erwägungen</w:t>
      </w:r>
    </w:p>
    <w:p>
      <w:r>
        <w:rPr>
          <w:b/>
        </w:rPr>
        <w:t>E. 50</w:t>
      </w:r>
    </w:p>
    <w:p>
      <w:r>
        <w:t>Totale                                                           fr. 500.- da anticiparsi dall’appellante, restano a suo carico con l’obbligo di rifondere alle parti appellate fr. 1’000.- per ripetibili. III. Intimazione: - - Comunicazione: Pretura del Distretto di Bellinzona Ufficio del registro di commercio, Lugano Ufficio federale del registro di commercio, Berna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