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12.2008.244 vom 17. August 2009</w:t>
      </w:r>
    </w:p>
    <w:p>
      <w:r>
        <w:t>TI Tribunale d'appello, 2009-08-17, IT</w:t>
      </w:r>
    </w:p>
    <w:p>
      <w:r>
        <w:rPr>
          <w:b/>
        </w:rPr>
        <w:t xml:space="preserve">Quelle: </w:t>
      </w:r>
      <w:r>
        <w:t>https://mcp.opencaselaw.ch/entscheid/ti_gerichte_12.2008.244</w:t>
      </w:r>
    </w:p>
    <w:p>
      <w:r>
        <w:t>FR: TI_GERICHTE 12.2008.244 du 17 août 2009</w:t>
      </w:r>
    </w:p>
    <w:p>
      <w:r>
        <w:t>IT: TI_GERICHTE 12.2008.244 del 17 agosto 2009</w:t>
      </w:r>
    </w:p>
    <w:p>
      <w:pPr>
        <w:pStyle w:val="Heading2"/>
      </w:pPr>
      <w:r>
        <w:t>Regeste</w:t>
      </w:r>
    </w:p>
    <w:p>
      <w:r>
        <w:t>Congiunzione di cause, contratto di licenza, conseguenza della rescissione per gravi motivi, restituzione di acconto già versato</w:t>
      </w:r>
    </w:p>
    <w:p>
      <w:pPr>
        <w:pStyle w:val="Heading2"/>
      </w:pPr>
      <w:r>
        <w:t>Erwägungen</w:t>
      </w:r>
    </w:p>
    <w:p>
      <w:r>
        <w:rPr>
          <w:b/>
        </w:rPr>
        <w:t>E. 7</w:t>
      </w:r>
    </w:p>
    <w:p>
      <w:r>
        <w:t>In relazione alle obiezioni sul tasso di cambio al giorno della sentenza, anziché di quello del momento dell'avvio di una domanda di esecuzione, giova rilevare che lo stesso era stato indicato nella petizione (pag. 11), ma non contestato in risposta o in duplica e, dunque, ammesso (art. 170 cpv. 2 CPC; Cocchi/Trezzini , CPC-TI, n. 618 ad art. 169). Queste obiezioni, unitamente a quella di poter liquidare il debito in valuta estera, sono state sollevate per la prima volta solo in sede di appello e sono quindi irricevibili (sentenze II CCA 3 agosto 2006 inc. 12.2005.120; 7 giugno 2005 inc. n. 12.2004.85). L'attrice nelle sue osservazioni in appello non ha però contestato e anzi ha ammesso (pag. 10) che il debito della convenuta potesse essere soddisfatto in dollari americani. Col che il dispositivo n. 1 della sentenza del Pretore può essere precisato – ma non il n. 2 -, nel senso che alla debitrice deve essere offerta la facoltà di estinguere il debito residuo nella valuta fissata nel contratto, ovvero in US$ 176'389.- (cfr. conclusioni parte attrice pag. 27/28 ed appello pag. 14), secondo le indicazioni dell'art. 84 cpv. 2 CO e della prassi del Tribunale federale (su questi aspetti cfr. DTF 134 III 154-157 consid. 2.2-2.4). Stante la parziale acquiescenza dell'attrice su questo solo punto, l'appello merita di essere parzialmente accolto in ordine al completamento del dispositivo della sentenza del Pretore.</w:t>
      </w:r>
    </w:p>
    <w:p>
      <w:r>
        <w:rPr>
          <w:b/>
        </w:rPr>
        <w:t>E. 8</w:t>
      </w:r>
    </w:p>
    <w:p>
      <w:r>
        <w:t>Avuto riguardo all'esito dell’appello, non si giustifica neppure modificare il riparto delle tasse, delle spese e delle ripetibili (art. 148 CPC) fissato dal Pretore. Gli oneri processuali dell’appello restano a carico dell’appellante, stante la sua soccombenza pressoché integrale. Essa dovrà inoltre rifondere alla controparte un’adeguata indennità per ripetibili di appello. Per i quali motivi richiamati per le spese l’art. 148 CPC, la LTG e il Regolamento sulle ripetibili, pronuncia: I. L’appello 21 novembre 2008 di AP 1 è parzialmente accolto e di conseguenza, la sentenza 3 novembre 2008 del Pretore della Giurisdizione di Mendrisio-Nord, è così riformata: 1. La petizione è accolta. Di conseguenza AP 1 è condannata al pagamento a favore di AO 1 dell’importo di fr. 288'220.- o di US$ 176'389.-, oltre interessi al 5% dal 1° dicembre 2003 su fr. 254'658.80 o su US$ 170'500.- 2. Omissis. 3. Omissis. II. Le spese della procedura di appello consistenti in: a) tassa di giustizia      fr. 1’550.- b) spese                         fr. 50.- totale                              fr. 1’600.- già anticipate dall’appellante rimangono a suo carico, con l’obbligo di rifondere all’attrice fr. 4’000.- per ripetibili di appello. III. Intimazione: - - Comunicazione alla Pretura della giurisdizione di Mendrisio nord Per la seconda Camera civile del Tribunale d’appello La presidente                                                         Il segretario Rimedi giuridici Premesso che il valore di causa è di fr. 288'220.--, contro la presente sentenza è dato ricorso in materia civile (art. 74 cpv. 1 lett. b LTF)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