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12.2008.202 vom 17. Januar 2011</w:t>
      </w:r>
    </w:p>
    <w:p>
      <w:r>
        <w:t>TI Tribunale d'appello, 2011-01-17, IT</w:t>
      </w:r>
    </w:p>
    <w:p>
      <w:r>
        <w:rPr>
          <w:b/>
        </w:rPr>
        <w:t xml:space="preserve">Quelle: </w:t>
      </w:r>
      <w:r>
        <w:t>https://mcp.opencaselaw.ch/entscheid/ti_gerichte_12.2008.202</w:t>
      </w:r>
    </w:p>
    <w:p>
      <w:r>
        <w:t>FR: TI_GERICHTE 12.2008.202 du 17 janvier 2011</w:t>
      </w:r>
    </w:p>
    <w:p>
      <w:r>
        <w:t>IT: TI_GERICHTE 12.2008.202 del 17 gennaio 2011</w:t>
      </w:r>
    </w:p>
    <w:p>
      <w:pPr>
        <w:pStyle w:val="Heading2"/>
      </w:pPr>
      <w:r>
        <w:t>Regeste</w:t>
      </w:r>
    </w:p>
    <w:p>
      <w:r>
        <w:t>Contratto di assicurazione - furto - frode nelle giustificazioni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ad art. 40 LCA), a meno che le stesse siano state fornite per errore, distrazione o disattenzione ( Nef , op. cit., n. 23 e 64 ad art. 40 LCA; TF 12 giugno 2002 5C.99/2002 consid. 3.1, 17 ottobre 2007 5C.2/2007 consid. 4.1). Negli allegati preliminari l’attore non ha tuttavia preteso che quella dichiarazione fosse stata da lui resa per errore, distrazione o disattenzione e in particolare di non aver verificato se l’informazione datagli da J__________ __________ SA fosse veritiera ( Nef , op. cit., n. 23 ad art. 40 LCA), per cui si può senz’altro ritenere che la stessa fosse stata fornita con la sua piena consapevolezza e dopo le verifiche del caso. È in definitiva solo in sede conclusionale (p. 2, 4, 6 e 15) che l’attore ha sostenuto quanto poi ribadito in questa sede, ovvero di non aver in realtà vissuto direttamente i fatti e di non aver deciso lui di sostituire i cerchioni al momento dell’acquisto (appello p. 9), rispettivamente che la sostituzione dei cerchioni era stata messa in atto su esclusiva iniziativa di J__________ __________ SA, ben prima delle trattative che avevano condotto alla vendita dell’auto (appello p. 12). L’argomentazione, non addotta negli allegati preliminari, è tuttavia nuova e con ciò irricevibile (art. 78 CPC), e non può essere presa in considerazione per il giudizio. 12. Ammesso così che le condizioni (oggettive e soggettive) per far capo all’art. 40 LCA erano concretamente date, la sentenza pretorile può senz’altro essere confermata. Ne discende la reiezione del gravame, senza che occorra esaminare se l’indennizzo a favore dell’attore avrebbe dovuto essere ridotto del 20% in applicazione dell’art. 55.502 delle CGA, né chiarire la data di decorrenza degli eventuali interessi di mora. La tassa di giustizia, le spese e le ripetibili della procedura d’appello, calcolate sulla base di un valore litigioso di fr. 159'210.-, seguono la soccombenza (art. 148 CPC). Per i quali motivi, richiamati l’art. 148 CPC e la TG dichiara e pronuncia I. L’appello 22 settembre 2008 di AP 1 è respinto . II. Le spese della procedura d’appello consistenti in: a) tassa di giustizia                                    fr.  2’950.- b) spese                                                      fr. 50.- Totale                                                           fr. 3’000.- da anticiparsi dall’appellante, restano a suo carico con l’obbligo di rifondere alla controparte fr. 4’000.- per ripetibili di appello. III. Intimazione: - - Comunicazione alla Pretura della giurisdizione di Locarno-Città Per la seconda Camera civile del Tribunale d’appello Il vicepresidente                                                    Il segretario Rimedi giuridici Nelle cause a carattere pecuniario con un valore litigioso superiore a fr. 30'000.- è dato ricorso in materia civile al Tribunale federale, 1000 Losanna 14, entro 30 giorni dalla notificazione del testo integrale della decisione (art. 74 cpv. 1 e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